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A0" w:rsidRDefault="007A6BA0"/>
    <w:p w:rsidR="00C85104" w:rsidRDefault="00F33616" w:rsidP="00C85104">
      <w:pPr>
        <w:spacing w:after="120"/>
        <w:jc w:val="center"/>
        <w:rPr>
          <w:rFonts w:ascii="Times New Roman" w:hAnsi="Times New Roman" w:cs="Times New Roman"/>
          <w:b/>
          <w:sz w:val="25"/>
          <w:szCs w:val="25"/>
          <w:lang w:val="bg-BG"/>
        </w:rPr>
      </w:pPr>
      <w:r>
        <w:rPr>
          <w:rFonts w:ascii="Times New Roman" w:hAnsi="Times New Roman" w:cs="Times New Roman"/>
          <w:b/>
          <w:sz w:val="25"/>
          <w:szCs w:val="25"/>
          <w:lang w:val="bg-BG"/>
        </w:rPr>
        <w:t>Извадка от д</w:t>
      </w:r>
      <w:r w:rsidR="007A6BA0">
        <w:rPr>
          <w:rFonts w:ascii="Times New Roman" w:hAnsi="Times New Roman" w:cs="Times New Roman"/>
          <w:b/>
          <w:sz w:val="25"/>
          <w:szCs w:val="25"/>
          <w:lang w:val="bg-BG"/>
        </w:rPr>
        <w:t>оклад</w:t>
      </w:r>
      <w:r w:rsidR="00C85104">
        <w:rPr>
          <w:rFonts w:ascii="Times New Roman" w:hAnsi="Times New Roman" w:cs="Times New Roman"/>
          <w:b/>
          <w:sz w:val="25"/>
          <w:szCs w:val="25"/>
          <w:lang w:val="bg-BG"/>
        </w:rPr>
        <w:t xml:space="preserve">, подписан от председателите </w:t>
      </w:r>
      <w:r w:rsidR="007A6BA0">
        <w:rPr>
          <w:rFonts w:ascii="Times New Roman" w:hAnsi="Times New Roman" w:cs="Times New Roman"/>
          <w:b/>
          <w:sz w:val="25"/>
          <w:szCs w:val="25"/>
          <w:lang w:val="bg-BG"/>
        </w:rPr>
        <w:t>на национално</w:t>
      </w:r>
    </w:p>
    <w:p w:rsidR="00C85104" w:rsidRDefault="007A6BA0" w:rsidP="00C85104">
      <w:pPr>
        <w:spacing w:after="120"/>
        <w:jc w:val="center"/>
        <w:rPr>
          <w:rFonts w:ascii="Times New Roman" w:hAnsi="Times New Roman" w:cs="Times New Roman"/>
          <w:b/>
          <w:sz w:val="25"/>
          <w:szCs w:val="25"/>
          <w:lang w:val="bg-BG"/>
        </w:rPr>
      </w:pPr>
      <w:r>
        <w:rPr>
          <w:rFonts w:ascii="Times New Roman" w:hAnsi="Times New Roman" w:cs="Times New Roman"/>
          <w:b/>
          <w:sz w:val="25"/>
          <w:szCs w:val="25"/>
          <w:lang w:val="bg-BG"/>
        </w:rPr>
        <w:t>-представените работодателски органи</w:t>
      </w:r>
      <w:r w:rsidR="00C85104">
        <w:rPr>
          <w:rFonts w:ascii="Times New Roman" w:hAnsi="Times New Roman" w:cs="Times New Roman"/>
          <w:b/>
          <w:sz w:val="25"/>
          <w:szCs w:val="25"/>
          <w:lang w:val="bg-BG"/>
        </w:rPr>
        <w:t>зации (АИКБ, БСК, БТПП и КРИБ),</w:t>
      </w:r>
    </w:p>
    <w:p w:rsidR="00C85104" w:rsidRDefault="007A6BA0" w:rsidP="00C85104">
      <w:pPr>
        <w:spacing w:after="120"/>
        <w:jc w:val="center"/>
        <w:rPr>
          <w:rFonts w:ascii="Times New Roman" w:hAnsi="Times New Roman" w:cs="Times New Roman"/>
          <w:b/>
          <w:sz w:val="25"/>
          <w:szCs w:val="25"/>
          <w:lang w:val="bg-BG"/>
        </w:rPr>
      </w:pPr>
      <w:r>
        <w:rPr>
          <w:rFonts w:ascii="Times New Roman" w:hAnsi="Times New Roman" w:cs="Times New Roman"/>
          <w:b/>
          <w:sz w:val="25"/>
          <w:szCs w:val="25"/>
          <w:lang w:val="bg-BG"/>
        </w:rPr>
        <w:t xml:space="preserve">адресиран до Комисия по енергетиката на Народно събрание на Република България </w:t>
      </w:r>
      <w:r w:rsidR="00F33616">
        <w:rPr>
          <w:rFonts w:ascii="Times New Roman" w:hAnsi="Times New Roman" w:cs="Times New Roman"/>
          <w:b/>
          <w:sz w:val="25"/>
          <w:szCs w:val="25"/>
          <w:lang w:val="bg-BG"/>
        </w:rPr>
        <w:t>и до м</w:t>
      </w:r>
      <w:r w:rsidR="00C85104">
        <w:rPr>
          <w:rFonts w:ascii="Times New Roman" w:hAnsi="Times New Roman" w:cs="Times New Roman"/>
          <w:b/>
          <w:sz w:val="25"/>
          <w:szCs w:val="25"/>
          <w:lang w:val="bg-BG"/>
        </w:rPr>
        <w:t>инистъра на енергетиката</w:t>
      </w:r>
    </w:p>
    <w:p w:rsidR="007A6BA0" w:rsidRDefault="007A6BA0" w:rsidP="00C85104">
      <w:pPr>
        <w:spacing w:after="120"/>
        <w:jc w:val="center"/>
        <w:rPr>
          <w:rFonts w:ascii="Times New Roman" w:hAnsi="Times New Roman" w:cs="Times New Roman"/>
          <w:b/>
          <w:sz w:val="25"/>
          <w:szCs w:val="25"/>
          <w:lang w:val="bg-BG"/>
        </w:rPr>
      </w:pPr>
      <w:r>
        <w:rPr>
          <w:rFonts w:ascii="Times New Roman" w:hAnsi="Times New Roman" w:cs="Times New Roman"/>
          <w:b/>
          <w:sz w:val="25"/>
          <w:szCs w:val="25"/>
          <w:lang w:val="bg-BG"/>
        </w:rPr>
        <w:t xml:space="preserve">в частта ВЕИ </w:t>
      </w:r>
      <w:r w:rsidR="00F33616">
        <w:rPr>
          <w:rFonts w:ascii="Times New Roman" w:hAnsi="Times New Roman" w:cs="Times New Roman"/>
          <w:b/>
          <w:sz w:val="25"/>
          <w:szCs w:val="25"/>
          <w:lang w:val="bg-BG"/>
        </w:rPr>
        <w:t>с</w:t>
      </w:r>
      <w:bookmarkStart w:id="0" w:name="_GoBack"/>
      <w:bookmarkEnd w:id="0"/>
      <w:r>
        <w:rPr>
          <w:rFonts w:ascii="Times New Roman" w:hAnsi="Times New Roman" w:cs="Times New Roman"/>
          <w:b/>
          <w:sz w:val="25"/>
          <w:szCs w:val="25"/>
          <w:lang w:val="bg-BG"/>
        </w:rPr>
        <w:t>ектор</w:t>
      </w:r>
    </w:p>
    <w:p w:rsidR="007A6BA0" w:rsidRPr="007A6BA0" w:rsidRDefault="007A6BA0" w:rsidP="007A6BA0">
      <w:pPr>
        <w:spacing w:after="120"/>
        <w:rPr>
          <w:rFonts w:ascii="Times New Roman" w:hAnsi="Times New Roman" w:cs="Times New Roman"/>
          <w:b/>
          <w:sz w:val="25"/>
          <w:szCs w:val="25"/>
          <w:lang w:val="bg-BG"/>
        </w:rPr>
      </w:pPr>
    </w:p>
    <w:p w:rsidR="007A6BA0" w:rsidRDefault="007A6BA0" w:rsidP="007A6BA0">
      <w:pPr>
        <w:spacing w:after="120"/>
        <w:rPr>
          <w:rFonts w:ascii="Times New Roman" w:hAnsi="Times New Roman" w:cs="Times New Roman"/>
          <w:b/>
          <w:sz w:val="25"/>
          <w:szCs w:val="25"/>
          <w:lang w:val="bg-BG"/>
        </w:rPr>
      </w:pPr>
    </w:p>
    <w:p w:rsidR="007A6BA0" w:rsidRPr="004938E3" w:rsidRDefault="007A6BA0" w:rsidP="007A6BA0">
      <w:pPr>
        <w:spacing w:after="120"/>
        <w:rPr>
          <w:rFonts w:ascii="Times New Roman" w:hAnsi="Times New Roman" w:cs="Times New Roman"/>
          <w:b/>
          <w:sz w:val="25"/>
          <w:szCs w:val="25"/>
          <w:lang w:val="bg-BG"/>
        </w:rPr>
      </w:pPr>
    </w:p>
    <w:p w:rsidR="007A6BA0" w:rsidRDefault="007A6BA0" w:rsidP="00C85104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ВЕИ СЕКТОР</w:t>
      </w:r>
    </w:p>
    <w:p w:rsidR="007A6BA0" w:rsidRDefault="007A6BA0" w:rsidP="007A6BA0">
      <w:pPr>
        <w:pStyle w:val="ListParagraph"/>
        <w:spacing w:after="120"/>
        <w:rPr>
          <w:rFonts w:ascii="Times New Roman" w:hAnsi="Times New Roman" w:cs="Times New Roman"/>
          <w:b/>
          <w:sz w:val="25"/>
          <w:szCs w:val="25"/>
        </w:rPr>
      </w:pPr>
    </w:p>
    <w:p w:rsidR="007A6BA0" w:rsidRPr="00DD31EF" w:rsidRDefault="007A6BA0" w:rsidP="007A6BA0">
      <w:pPr>
        <w:spacing w:after="120"/>
        <w:ind w:firstLine="720"/>
        <w:jc w:val="both"/>
        <w:rPr>
          <w:rFonts w:ascii="Times New Roman" w:hAnsi="Times New Roman" w:cs="Times New Roman"/>
          <w:b/>
          <w:i/>
          <w:sz w:val="25"/>
          <w:szCs w:val="25"/>
          <w:lang w:val="bg-BG"/>
        </w:rPr>
      </w:pPr>
      <w:r w:rsidRPr="00DD31EF">
        <w:rPr>
          <w:rFonts w:ascii="Times New Roman" w:hAnsi="Times New Roman" w:cs="Times New Roman"/>
          <w:b/>
          <w:i/>
          <w:sz w:val="25"/>
          <w:szCs w:val="25"/>
        </w:rPr>
        <w:t>III</w:t>
      </w:r>
      <w:r w:rsidRPr="00DD31EF">
        <w:rPr>
          <w:rFonts w:ascii="Times New Roman" w:hAnsi="Times New Roman" w:cs="Times New Roman"/>
          <w:b/>
          <w:i/>
          <w:sz w:val="25"/>
          <w:szCs w:val="25"/>
          <w:lang w:val="bg-BG"/>
        </w:rPr>
        <w:t>. 1. Нарушения в процеса по присъединяване на ВЕИ-централи</w:t>
      </w:r>
    </w:p>
    <w:p w:rsidR="007A6BA0" w:rsidRDefault="007A6BA0" w:rsidP="007A6BA0">
      <w:pPr>
        <w:spacing w:after="120"/>
        <w:ind w:firstLine="720"/>
        <w:jc w:val="both"/>
        <w:rPr>
          <w:rFonts w:ascii="Times New Roman" w:hAnsi="Times New Roman" w:cs="Times New Roman"/>
          <w:sz w:val="25"/>
          <w:szCs w:val="25"/>
          <w:lang w:val="bg-BG"/>
        </w:rPr>
      </w:pPr>
      <w:r>
        <w:rPr>
          <w:rFonts w:ascii="Times New Roman" w:hAnsi="Times New Roman" w:cs="Times New Roman"/>
          <w:sz w:val="25"/>
          <w:szCs w:val="25"/>
          <w:lang w:val="bg-BG"/>
        </w:rPr>
        <w:t>Комисията за енергийно и водно регулиране („КЕВР“) при упражняване на правомощията си за планови проверки и за извършване на регулаторни прегледи е констатирала множество нарушения при присъединяването на ВЕИ-централи в периода 2009-2012 г., но въпреки това докладите не са публични и представени на официалната интернет страница на Комисията. Данни за констатираните нарушения са оповестени в медиите</w:t>
      </w:r>
      <w:r>
        <w:rPr>
          <w:rStyle w:val="FootnoteReference"/>
          <w:rFonts w:ascii="Times New Roman" w:hAnsi="Times New Roman" w:cs="Times New Roman"/>
          <w:sz w:val="25"/>
          <w:szCs w:val="25"/>
          <w:lang w:val="bg-BG"/>
        </w:rPr>
        <w:footnoteReference w:id="1"/>
      </w:r>
      <w:r>
        <w:rPr>
          <w:rFonts w:ascii="Times New Roman" w:hAnsi="Times New Roman" w:cs="Times New Roman"/>
          <w:sz w:val="25"/>
          <w:szCs w:val="25"/>
          <w:lang w:val="bg-BG"/>
        </w:rPr>
        <w:t>, както и в отчетния Доклад</w:t>
      </w:r>
      <w:r>
        <w:rPr>
          <w:rStyle w:val="FootnoteReference"/>
          <w:rFonts w:ascii="Times New Roman" w:hAnsi="Times New Roman" w:cs="Times New Roman"/>
          <w:sz w:val="25"/>
          <w:szCs w:val="25"/>
          <w:lang w:val="bg-BG"/>
        </w:rPr>
        <w:footnoteReference w:id="2"/>
      </w:r>
      <w:r>
        <w:rPr>
          <w:rFonts w:ascii="Times New Roman" w:hAnsi="Times New Roman" w:cs="Times New Roman"/>
          <w:sz w:val="25"/>
          <w:szCs w:val="25"/>
          <w:lang w:val="bg-BG"/>
        </w:rPr>
        <w:t xml:space="preserve"> на Временната анкетна комисия за проверка и оценка на състоянието на енергетиката в Република България за периода 19.02.2015 г. – 31.07.2015 г.</w:t>
      </w:r>
    </w:p>
    <w:p w:rsidR="007A6BA0" w:rsidRDefault="007A6BA0" w:rsidP="007A6BA0">
      <w:pPr>
        <w:spacing w:after="120"/>
        <w:jc w:val="both"/>
        <w:rPr>
          <w:rFonts w:ascii="Times New Roman" w:hAnsi="Times New Roman" w:cs="Times New Roman"/>
          <w:sz w:val="25"/>
          <w:szCs w:val="25"/>
          <w:lang w:val="bg-BG"/>
        </w:rPr>
      </w:pPr>
      <w:r>
        <w:rPr>
          <w:rFonts w:ascii="Times New Roman" w:hAnsi="Times New Roman" w:cs="Times New Roman"/>
          <w:sz w:val="25"/>
          <w:szCs w:val="25"/>
          <w:lang w:val="bg-BG"/>
        </w:rPr>
        <w:tab/>
        <w:t xml:space="preserve">При присъединяването на ВЕИ-централи както преносното предприятие „НЕК“ ЕАД, така и електроразпределителните дружества са нарушавали в полза на инвеститорите изискванията на </w:t>
      </w:r>
      <w:r w:rsidRPr="00C54606">
        <w:rPr>
          <w:rFonts w:ascii="Times New Roman" w:hAnsi="Times New Roman" w:cs="Times New Roman"/>
          <w:sz w:val="25"/>
          <w:szCs w:val="25"/>
          <w:lang w:val="bg-BG"/>
        </w:rPr>
        <w:t>Наредба № 6 от 09.06.2004 г. за присъединяване на производители и потребители на електрическа енергия към преносната и разпределителните електрически мрежи</w:t>
      </w:r>
      <w:r>
        <w:rPr>
          <w:rFonts w:ascii="Times New Roman" w:hAnsi="Times New Roman" w:cs="Times New Roman"/>
          <w:sz w:val="25"/>
          <w:szCs w:val="25"/>
          <w:lang w:val="bg-BG"/>
        </w:rPr>
        <w:t xml:space="preserve">, издадена от </w:t>
      </w:r>
      <w:r w:rsidRPr="00C54606">
        <w:rPr>
          <w:rFonts w:ascii="Times New Roman" w:hAnsi="Times New Roman" w:cs="Times New Roman"/>
          <w:sz w:val="25"/>
          <w:szCs w:val="25"/>
          <w:lang w:val="bg-BG"/>
        </w:rPr>
        <w:t>Министерството на енергетиката и енергийните ресурси</w:t>
      </w:r>
      <w:r>
        <w:rPr>
          <w:rFonts w:ascii="Times New Roman" w:hAnsi="Times New Roman" w:cs="Times New Roman"/>
          <w:sz w:val="25"/>
          <w:szCs w:val="25"/>
          <w:lang w:val="bg-BG"/>
        </w:rPr>
        <w:t xml:space="preserve">, на което е възложен контрол по спазването на разпоредбите й. Съгласно </w:t>
      </w:r>
      <w:r w:rsidRPr="00BD444B">
        <w:rPr>
          <w:rFonts w:ascii="Times New Roman" w:hAnsi="Times New Roman" w:cs="Times New Roman"/>
          <w:sz w:val="25"/>
          <w:szCs w:val="25"/>
          <w:lang w:val="bg-BG"/>
        </w:rPr>
        <w:t xml:space="preserve">посочената Наредба процесът на присъединяване на производители изисква </w:t>
      </w:r>
      <w:r>
        <w:rPr>
          <w:rFonts w:ascii="Times New Roman" w:hAnsi="Times New Roman" w:cs="Times New Roman"/>
          <w:sz w:val="25"/>
          <w:szCs w:val="25"/>
          <w:lang w:val="bg-BG"/>
        </w:rPr>
        <w:t xml:space="preserve">преносното и/или </w:t>
      </w:r>
      <w:r w:rsidRPr="00BD444B">
        <w:rPr>
          <w:rFonts w:ascii="Times New Roman" w:hAnsi="Times New Roman" w:cs="Times New Roman"/>
          <w:sz w:val="25"/>
          <w:szCs w:val="25"/>
          <w:lang w:val="bg-BG"/>
        </w:rPr>
        <w:t xml:space="preserve">разпределителното предприятие да прецени възможности на мрежата и да направи преценка за наличие на техническа възможност да осъществи присъединяването, в това число и възможностите за </w:t>
      </w:r>
      <w:r>
        <w:rPr>
          <w:rFonts w:ascii="Times New Roman" w:hAnsi="Times New Roman" w:cs="Times New Roman"/>
          <w:sz w:val="25"/>
          <w:szCs w:val="25"/>
          <w:lang w:val="bg-BG"/>
        </w:rPr>
        <w:t xml:space="preserve">достъп и </w:t>
      </w:r>
      <w:r w:rsidRPr="00BD444B">
        <w:rPr>
          <w:rFonts w:ascii="Times New Roman" w:hAnsi="Times New Roman" w:cs="Times New Roman"/>
          <w:sz w:val="25"/>
          <w:szCs w:val="25"/>
          <w:lang w:val="bg-BG"/>
        </w:rPr>
        <w:t>пренос на енергията</w:t>
      </w:r>
      <w:r>
        <w:rPr>
          <w:rFonts w:ascii="Times New Roman" w:hAnsi="Times New Roman" w:cs="Times New Roman"/>
          <w:sz w:val="25"/>
          <w:szCs w:val="25"/>
          <w:lang w:val="bg-BG"/>
        </w:rPr>
        <w:t xml:space="preserve">, която ще се произвежда от централата. </w:t>
      </w:r>
    </w:p>
    <w:p w:rsidR="007A6BA0" w:rsidRDefault="007A6BA0" w:rsidP="007A6BA0">
      <w:pPr>
        <w:spacing w:after="120"/>
        <w:jc w:val="both"/>
        <w:rPr>
          <w:rFonts w:ascii="Times New Roman" w:hAnsi="Times New Roman" w:cs="Times New Roman"/>
          <w:sz w:val="25"/>
          <w:szCs w:val="25"/>
          <w:lang w:val="bg-BG"/>
        </w:rPr>
      </w:pPr>
      <w:r>
        <w:rPr>
          <w:rFonts w:ascii="Times New Roman" w:hAnsi="Times New Roman" w:cs="Times New Roman"/>
          <w:sz w:val="25"/>
          <w:szCs w:val="25"/>
          <w:lang w:val="bg-BG"/>
        </w:rPr>
        <w:tab/>
        <w:t xml:space="preserve">През периода 2004-2009 г. в „НЕК“ ЕАД </w:t>
      </w:r>
      <w:r w:rsidRPr="00A305EC">
        <w:rPr>
          <w:rFonts w:ascii="Times New Roman" w:hAnsi="Times New Roman" w:cs="Times New Roman"/>
          <w:sz w:val="25"/>
          <w:szCs w:val="25"/>
          <w:lang w:val="bg-BG"/>
        </w:rPr>
        <w:t xml:space="preserve">са постъпили искания </w:t>
      </w:r>
      <w:r>
        <w:rPr>
          <w:rFonts w:ascii="Times New Roman" w:hAnsi="Times New Roman" w:cs="Times New Roman"/>
          <w:sz w:val="25"/>
          <w:szCs w:val="25"/>
          <w:lang w:val="bg-BG"/>
        </w:rPr>
        <w:t>о</w:t>
      </w:r>
      <w:r w:rsidRPr="00A305EC">
        <w:rPr>
          <w:rFonts w:ascii="Times New Roman" w:hAnsi="Times New Roman" w:cs="Times New Roman"/>
          <w:sz w:val="25"/>
          <w:szCs w:val="25"/>
          <w:lang w:val="bg-BG"/>
        </w:rPr>
        <w:t xml:space="preserve">т 130 инвеститори </w:t>
      </w:r>
      <w:r>
        <w:rPr>
          <w:rFonts w:ascii="Times New Roman" w:hAnsi="Times New Roman" w:cs="Times New Roman"/>
          <w:sz w:val="25"/>
          <w:szCs w:val="25"/>
          <w:lang w:val="bg-BG"/>
        </w:rPr>
        <w:t xml:space="preserve">за проучване на условията </w:t>
      </w:r>
      <w:r w:rsidRPr="00A305EC">
        <w:rPr>
          <w:rFonts w:ascii="Times New Roman" w:hAnsi="Times New Roman" w:cs="Times New Roman"/>
          <w:sz w:val="25"/>
          <w:szCs w:val="25"/>
          <w:lang w:val="bg-BG"/>
        </w:rPr>
        <w:t xml:space="preserve">за присъединяване на </w:t>
      </w:r>
      <w:r>
        <w:rPr>
          <w:rFonts w:ascii="Times New Roman" w:hAnsi="Times New Roman" w:cs="Times New Roman"/>
          <w:sz w:val="25"/>
          <w:szCs w:val="25"/>
          <w:lang w:val="bg-BG"/>
        </w:rPr>
        <w:t xml:space="preserve">153 </w:t>
      </w:r>
      <w:r w:rsidRPr="00A305EC">
        <w:rPr>
          <w:rFonts w:ascii="Times New Roman" w:hAnsi="Times New Roman" w:cs="Times New Roman"/>
          <w:sz w:val="25"/>
          <w:szCs w:val="25"/>
          <w:lang w:val="bg-BG"/>
        </w:rPr>
        <w:t>обек</w:t>
      </w:r>
      <w:r>
        <w:rPr>
          <w:rFonts w:ascii="Times New Roman" w:hAnsi="Times New Roman" w:cs="Times New Roman"/>
          <w:sz w:val="25"/>
          <w:szCs w:val="25"/>
          <w:lang w:val="bg-BG"/>
        </w:rPr>
        <w:t xml:space="preserve">та, в т.ч. </w:t>
      </w:r>
      <w:r w:rsidRPr="00A305EC">
        <w:rPr>
          <w:rFonts w:ascii="Times New Roman" w:hAnsi="Times New Roman" w:cs="Times New Roman"/>
          <w:sz w:val="25"/>
          <w:szCs w:val="25"/>
          <w:lang w:val="bg-BG"/>
        </w:rPr>
        <w:t>119  Вятърни еле</w:t>
      </w:r>
      <w:r>
        <w:rPr>
          <w:rFonts w:ascii="Times New Roman" w:hAnsi="Times New Roman" w:cs="Times New Roman"/>
          <w:sz w:val="25"/>
          <w:szCs w:val="25"/>
          <w:lang w:val="bg-BG"/>
        </w:rPr>
        <w:t xml:space="preserve">ктроцентрали (ВяЕЦ) и </w:t>
      </w:r>
      <w:r w:rsidRPr="00A305EC">
        <w:rPr>
          <w:rFonts w:ascii="Times New Roman" w:hAnsi="Times New Roman" w:cs="Times New Roman"/>
          <w:sz w:val="25"/>
          <w:szCs w:val="25"/>
          <w:lang w:val="bg-BG"/>
        </w:rPr>
        <w:t>34  Фотоволтаични електроцентрали (ФвЕЦ)</w:t>
      </w:r>
      <w:r w:rsidRPr="00FE1B03">
        <w:rPr>
          <w:lang w:val="bg-BG"/>
        </w:rPr>
        <w:t xml:space="preserve"> </w:t>
      </w:r>
      <w:r w:rsidRPr="00FE1B03">
        <w:rPr>
          <w:rFonts w:ascii="Times New Roman" w:hAnsi="Times New Roman" w:cs="Times New Roman"/>
          <w:sz w:val="25"/>
          <w:szCs w:val="25"/>
          <w:lang w:val="bg-BG"/>
        </w:rPr>
        <w:t xml:space="preserve">с обща </w:t>
      </w:r>
      <w:r>
        <w:rPr>
          <w:rFonts w:ascii="Times New Roman" w:hAnsi="Times New Roman" w:cs="Times New Roman"/>
          <w:sz w:val="25"/>
          <w:szCs w:val="25"/>
          <w:lang w:val="bg-BG"/>
        </w:rPr>
        <w:t xml:space="preserve">заявена инсталирана мощност </w:t>
      </w:r>
      <w:r w:rsidRPr="00FE1B03">
        <w:rPr>
          <w:rFonts w:ascii="Times New Roman" w:hAnsi="Times New Roman" w:cs="Times New Roman"/>
          <w:sz w:val="25"/>
          <w:szCs w:val="25"/>
          <w:lang w:val="bg-BG"/>
        </w:rPr>
        <w:t>11 500  MW</w:t>
      </w:r>
      <w:r>
        <w:rPr>
          <w:rFonts w:ascii="Times New Roman" w:hAnsi="Times New Roman" w:cs="Times New Roman"/>
          <w:sz w:val="25"/>
          <w:szCs w:val="25"/>
          <w:lang w:val="bg-BG"/>
        </w:rPr>
        <w:t xml:space="preserve">. Становища за присъединявания са </w:t>
      </w:r>
      <w:r>
        <w:rPr>
          <w:rFonts w:ascii="Times New Roman" w:hAnsi="Times New Roman" w:cs="Times New Roman"/>
          <w:sz w:val="25"/>
          <w:szCs w:val="25"/>
          <w:lang w:val="bg-BG"/>
        </w:rPr>
        <w:lastRenderedPageBreak/>
        <w:t xml:space="preserve">издавани при липса на изискуемите документи съгласно </w:t>
      </w:r>
      <w:r w:rsidRPr="003C1FE5">
        <w:rPr>
          <w:rFonts w:ascii="Times New Roman" w:hAnsi="Times New Roman" w:cs="Times New Roman"/>
          <w:sz w:val="25"/>
          <w:szCs w:val="25"/>
          <w:lang w:val="bg-BG"/>
        </w:rPr>
        <w:t>Наредба № 6 от 09.06.2004 г. за присъединяване</w:t>
      </w:r>
      <w:r>
        <w:rPr>
          <w:rFonts w:ascii="Times New Roman" w:hAnsi="Times New Roman" w:cs="Times New Roman"/>
          <w:sz w:val="25"/>
          <w:szCs w:val="25"/>
          <w:lang w:val="bg-BG"/>
        </w:rPr>
        <w:t xml:space="preserve">то и при липса на преценка за техническия капацитет на преносната мрежа. В допълнение, становищата са многократно продължавани в полза на инвеститорите, въпреки неизпълнение на задълженията им и правото на „НЕК“ ЕАД като преносно предприятие да откаже подписване на предварителен договор за присъединяване. </w:t>
      </w:r>
      <w:r w:rsidRPr="00D636EA">
        <w:rPr>
          <w:rFonts w:ascii="Times New Roman" w:hAnsi="Times New Roman" w:cs="Times New Roman"/>
          <w:b/>
          <w:sz w:val="25"/>
          <w:szCs w:val="25"/>
          <w:lang w:val="bg-BG"/>
        </w:rPr>
        <w:t>Вследствие на това поведение от страна на отговорните длъжностни лице от „НЕК“ ЕАД още към 30.12.2009 г. с оглед заявените мощности за присъединяване и относителния дял на електроенергията, която те биха могли да произведат, са заложени предпоставките за преизпълнение на националната индикативна цел от 16 % съгласно Директива 2009/28/ЕО на Европейския парламент и на Съвета от 23 април 2009 година за насърчаване използването на енергия от възобновяеми източници.</w:t>
      </w:r>
      <w:r>
        <w:rPr>
          <w:rFonts w:ascii="Times New Roman" w:hAnsi="Times New Roman" w:cs="Times New Roman"/>
          <w:sz w:val="25"/>
          <w:szCs w:val="25"/>
          <w:lang w:val="bg-BG"/>
        </w:rPr>
        <w:t xml:space="preserve"> </w:t>
      </w:r>
    </w:p>
    <w:p w:rsidR="007A6BA0" w:rsidRDefault="007A6BA0" w:rsidP="007A6BA0">
      <w:pPr>
        <w:spacing w:after="120"/>
        <w:jc w:val="both"/>
        <w:rPr>
          <w:rFonts w:ascii="Times New Roman" w:hAnsi="Times New Roman" w:cs="Times New Roman"/>
          <w:sz w:val="25"/>
          <w:szCs w:val="25"/>
          <w:lang w:val="bg-BG"/>
        </w:rPr>
      </w:pPr>
      <w:r>
        <w:rPr>
          <w:rFonts w:ascii="Times New Roman" w:hAnsi="Times New Roman" w:cs="Times New Roman"/>
          <w:sz w:val="25"/>
          <w:szCs w:val="25"/>
          <w:lang w:val="bg-BG"/>
        </w:rPr>
        <w:tab/>
        <w:t xml:space="preserve">Електроразпределителните предприятия са присъединявали ВЕИ-централи без провеждане на изискуемата по </w:t>
      </w:r>
      <w:r w:rsidRPr="0065516F">
        <w:rPr>
          <w:rFonts w:ascii="Times New Roman" w:hAnsi="Times New Roman" w:cs="Times New Roman"/>
          <w:sz w:val="25"/>
          <w:szCs w:val="25"/>
          <w:lang w:val="bg-BG"/>
        </w:rPr>
        <w:t xml:space="preserve">Наредба № 6 от 09.06.2004 г. </w:t>
      </w:r>
      <w:r>
        <w:rPr>
          <w:rFonts w:ascii="Times New Roman" w:hAnsi="Times New Roman" w:cs="Times New Roman"/>
          <w:sz w:val="25"/>
          <w:szCs w:val="25"/>
          <w:lang w:val="bg-BG"/>
        </w:rPr>
        <w:t>съгласувателна процедура с „НЕК“ ЕАД. Особено остро този проблем се поставя при присъединяването на мощности в Североизточна България, част от електрорапределителната мрежа на „</w:t>
      </w:r>
      <w:r w:rsidRPr="0065516F">
        <w:rPr>
          <w:rFonts w:ascii="Times New Roman" w:hAnsi="Times New Roman" w:cs="Times New Roman"/>
          <w:sz w:val="25"/>
          <w:szCs w:val="25"/>
          <w:lang w:val="bg-BG"/>
        </w:rPr>
        <w:t>Е.ОН</w:t>
      </w:r>
      <w:r>
        <w:rPr>
          <w:rFonts w:ascii="Times New Roman" w:hAnsi="Times New Roman" w:cs="Times New Roman"/>
          <w:sz w:val="25"/>
          <w:szCs w:val="25"/>
          <w:lang w:val="bg-BG"/>
        </w:rPr>
        <w:t xml:space="preserve"> Мрежи“ АД, по настояще „Енерго Про Мрежи“ АД. Географският район въпреки че е с </w:t>
      </w:r>
      <w:r w:rsidRPr="00EA5CC0">
        <w:rPr>
          <w:rFonts w:ascii="Times New Roman" w:hAnsi="Times New Roman" w:cs="Times New Roman"/>
          <w:sz w:val="25"/>
          <w:szCs w:val="25"/>
          <w:lang w:val="bg-BG"/>
        </w:rPr>
        <w:t>подходящ по</w:t>
      </w:r>
      <w:r>
        <w:rPr>
          <w:rFonts w:ascii="Times New Roman" w:hAnsi="Times New Roman" w:cs="Times New Roman"/>
          <w:sz w:val="25"/>
          <w:szCs w:val="25"/>
          <w:lang w:val="bg-BG"/>
        </w:rPr>
        <w:t xml:space="preserve">тенциал на ВЕИ (вятър и слънце) </w:t>
      </w:r>
      <w:r w:rsidRPr="00EA5CC0">
        <w:rPr>
          <w:rFonts w:ascii="Times New Roman" w:hAnsi="Times New Roman" w:cs="Times New Roman"/>
          <w:sz w:val="25"/>
          <w:szCs w:val="25"/>
          <w:lang w:val="bg-BG"/>
        </w:rPr>
        <w:t xml:space="preserve">за изграждане на електропроизводствени мощности, </w:t>
      </w:r>
      <w:r>
        <w:rPr>
          <w:rFonts w:ascii="Times New Roman" w:hAnsi="Times New Roman" w:cs="Times New Roman"/>
          <w:sz w:val="25"/>
          <w:szCs w:val="25"/>
          <w:lang w:val="bg-BG"/>
        </w:rPr>
        <w:t xml:space="preserve">се характеризира с капацитет на преносната мрежа, съобразен с липсата на </w:t>
      </w:r>
      <w:r w:rsidRPr="00EA5CC0">
        <w:rPr>
          <w:rFonts w:ascii="Times New Roman" w:hAnsi="Times New Roman" w:cs="Times New Roman"/>
          <w:sz w:val="25"/>
          <w:szCs w:val="25"/>
          <w:lang w:val="bg-BG"/>
        </w:rPr>
        <w:t>индустриални обекти</w:t>
      </w:r>
      <w:r>
        <w:rPr>
          <w:rFonts w:ascii="Times New Roman" w:hAnsi="Times New Roman" w:cs="Times New Roman"/>
          <w:sz w:val="25"/>
          <w:szCs w:val="25"/>
          <w:lang w:val="bg-BG"/>
        </w:rPr>
        <w:t xml:space="preserve"> и с малък електрически товар. Тоест изградените мрежи нямат техническата възможност да присъединят мощностите, за които </w:t>
      </w:r>
      <w:r w:rsidRPr="00EA5CC0">
        <w:rPr>
          <w:rFonts w:ascii="Times New Roman" w:hAnsi="Times New Roman" w:cs="Times New Roman"/>
          <w:sz w:val="25"/>
          <w:szCs w:val="25"/>
          <w:lang w:val="bg-BG"/>
        </w:rPr>
        <w:t>„Е.ОН Мрежи“ АД</w:t>
      </w:r>
      <w:r>
        <w:rPr>
          <w:rFonts w:ascii="Times New Roman" w:hAnsi="Times New Roman" w:cs="Times New Roman"/>
          <w:sz w:val="25"/>
          <w:szCs w:val="25"/>
          <w:lang w:val="bg-BG"/>
        </w:rPr>
        <w:t xml:space="preserve"> и „НЕК“ ЕАД са сключили договори за присъединяване. </w:t>
      </w:r>
      <w:r w:rsidRPr="00313282">
        <w:rPr>
          <w:rFonts w:ascii="Times New Roman" w:hAnsi="Times New Roman" w:cs="Times New Roman"/>
          <w:sz w:val="25"/>
          <w:szCs w:val="25"/>
          <w:lang w:val="bg-BG"/>
        </w:rPr>
        <w:t>В</w:t>
      </w:r>
      <w:r>
        <w:rPr>
          <w:rFonts w:ascii="Times New Roman" w:hAnsi="Times New Roman" w:cs="Times New Roman"/>
          <w:sz w:val="25"/>
          <w:szCs w:val="25"/>
          <w:lang w:val="bg-BG"/>
        </w:rPr>
        <w:t xml:space="preserve"> някои случаи са се извършвали</w:t>
      </w:r>
      <w:r w:rsidRPr="00313282">
        <w:rPr>
          <w:rFonts w:ascii="Times New Roman" w:hAnsi="Times New Roman" w:cs="Times New Roman"/>
          <w:sz w:val="25"/>
          <w:szCs w:val="25"/>
          <w:lang w:val="bg-BG"/>
        </w:rPr>
        <w:t xml:space="preserve"> присъединявания на ветрогенератори към разпределителната мрежа </w:t>
      </w:r>
      <w:r>
        <w:rPr>
          <w:rFonts w:ascii="Times New Roman" w:hAnsi="Times New Roman" w:cs="Times New Roman"/>
          <w:sz w:val="25"/>
          <w:szCs w:val="25"/>
          <w:lang w:val="bg-BG"/>
        </w:rPr>
        <w:t xml:space="preserve">на </w:t>
      </w:r>
      <w:r w:rsidRPr="00313282">
        <w:rPr>
          <w:rFonts w:ascii="Times New Roman" w:hAnsi="Times New Roman" w:cs="Times New Roman"/>
          <w:sz w:val="25"/>
          <w:szCs w:val="25"/>
          <w:lang w:val="bg-BG"/>
        </w:rPr>
        <w:t xml:space="preserve">„Е.ОН Мрежи“ АД </w:t>
      </w:r>
      <w:r>
        <w:rPr>
          <w:rFonts w:ascii="Times New Roman" w:hAnsi="Times New Roman" w:cs="Times New Roman"/>
          <w:sz w:val="25"/>
          <w:szCs w:val="25"/>
          <w:lang w:val="bg-BG"/>
        </w:rPr>
        <w:t>без съгласие на „</w:t>
      </w:r>
      <w:r w:rsidRPr="00313282">
        <w:rPr>
          <w:rFonts w:ascii="Times New Roman" w:hAnsi="Times New Roman" w:cs="Times New Roman"/>
          <w:sz w:val="25"/>
          <w:szCs w:val="25"/>
          <w:lang w:val="bg-BG"/>
        </w:rPr>
        <w:t xml:space="preserve">НЕК” ЕАД, което </w:t>
      </w:r>
      <w:r>
        <w:rPr>
          <w:rFonts w:ascii="Times New Roman" w:hAnsi="Times New Roman" w:cs="Times New Roman"/>
          <w:sz w:val="25"/>
          <w:szCs w:val="25"/>
          <w:lang w:val="bg-BG"/>
        </w:rPr>
        <w:t xml:space="preserve">впоследствие се е констатирало от „ЕСО“ ЕАД по генерацията и товара от </w:t>
      </w:r>
      <w:r w:rsidRPr="00313282">
        <w:rPr>
          <w:rFonts w:ascii="Times New Roman" w:hAnsi="Times New Roman" w:cs="Times New Roman"/>
          <w:sz w:val="25"/>
          <w:szCs w:val="25"/>
          <w:lang w:val="bg-BG"/>
        </w:rPr>
        <w:t>потоците на мощност през трансформато</w:t>
      </w:r>
      <w:r>
        <w:rPr>
          <w:rFonts w:ascii="Times New Roman" w:hAnsi="Times New Roman" w:cs="Times New Roman"/>
          <w:sz w:val="25"/>
          <w:szCs w:val="25"/>
          <w:lang w:val="bg-BG"/>
        </w:rPr>
        <w:t>рите в подстанциите „Каварна”, „Шабла” и „</w:t>
      </w:r>
      <w:r w:rsidRPr="00313282">
        <w:rPr>
          <w:rFonts w:ascii="Times New Roman" w:hAnsi="Times New Roman" w:cs="Times New Roman"/>
          <w:sz w:val="25"/>
          <w:szCs w:val="25"/>
          <w:lang w:val="bg-BG"/>
        </w:rPr>
        <w:t>Генерал Тошево”.</w:t>
      </w:r>
    </w:p>
    <w:p w:rsidR="007A6BA0" w:rsidRPr="00EF6A49" w:rsidRDefault="007A6BA0" w:rsidP="007A6BA0">
      <w:pPr>
        <w:spacing w:after="120"/>
        <w:jc w:val="both"/>
        <w:rPr>
          <w:rFonts w:ascii="Times New Roman" w:hAnsi="Times New Roman" w:cs="Times New Roman"/>
          <w:b/>
          <w:sz w:val="25"/>
          <w:szCs w:val="25"/>
          <w:lang w:val="bg-BG"/>
        </w:rPr>
      </w:pPr>
      <w:r>
        <w:rPr>
          <w:rFonts w:ascii="Times New Roman" w:hAnsi="Times New Roman" w:cs="Times New Roman"/>
          <w:sz w:val="25"/>
          <w:szCs w:val="25"/>
          <w:lang w:val="bg-BG"/>
        </w:rPr>
        <w:tab/>
        <w:t xml:space="preserve">Вследствие на неспазване на разпоредбите на </w:t>
      </w:r>
      <w:r w:rsidRPr="00743BEB">
        <w:rPr>
          <w:rFonts w:ascii="Times New Roman" w:hAnsi="Times New Roman" w:cs="Times New Roman"/>
          <w:sz w:val="25"/>
          <w:szCs w:val="25"/>
          <w:lang w:val="bg-BG"/>
        </w:rPr>
        <w:t>Наредба № 6 от 09.06.2004 г. за присъединяването</w:t>
      </w:r>
      <w:r>
        <w:rPr>
          <w:rFonts w:ascii="Times New Roman" w:hAnsi="Times New Roman" w:cs="Times New Roman"/>
          <w:sz w:val="25"/>
          <w:szCs w:val="25"/>
          <w:lang w:val="bg-BG"/>
        </w:rPr>
        <w:t xml:space="preserve">, преносното предприятие и електроразпределителните предприятия са сключили договори за присъединяване на ВЕИ със заявена инсталирана мощност с потенциал за производство на електрическа енергия от ВЕИ, чиито относителен дял многократно надвишава индикативната цел от 16 %. Към онзи момент министърът на енергетиката не е упражнил текущ контрол върху изпълнение на разпоредбите на издадената от него Наредба № 6 от 09.06.2004 г., нито е инициирал процедура по необходими изменения на наредбата с оглед завишаване на изискванията за присъединяване. </w:t>
      </w:r>
      <w:r w:rsidRPr="00EF6A49">
        <w:rPr>
          <w:rFonts w:ascii="Times New Roman" w:hAnsi="Times New Roman" w:cs="Times New Roman"/>
          <w:b/>
          <w:sz w:val="25"/>
          <w:szCs w:val="25"/>
          <w:lang w:val="bg-BG"/>
        </w:rPr>
        <w:t xml:space="preserve">Нещо повече, вследствие на неуправляемия и незаконен процес по присъединяване, за „НЕК“ ЕАД е възникнала необходимостта от инвестиции за разширяване на преносната мрежа (подстанции, трансформатори, ВЕЛ, преустройство на ОРУ) в размер над 300-400 млн. лева. Всички тези разходи влизат в цените на крайните български </w:t>
      </w:r>
      <w:r w:rsidRPr="00EF6A49">
        <w:rPr>
          <w:rFonts w:ascii="Times New Roman" w:hAnsi="Times New Roman" w:cs="Times New Roman"/>
          <w:b/>
          <w:sz w:val="25"/>
          <w:szCs w:val="25"/>
          <w:lang w:val="bg-BG"/>
        </w:rPr>
        <w:lastRenderedPageBreak/>
        <w:t xml:space="preserve">граждани - потребители и бизнеса и съответно финансовата тежест се поема не от инвеститора, не от мрежовите предприятия, позволили безконтролното присъединяване, а от българските граждани и бизнес чрез добавка „зелена енергия“ / „задължения към обществото“. </w:t>
      </w:r>
    </w:p>
    <w:p w:rsidR="007A6BA0" w:rsidRDefault="007A6BA0" w:rsidP="007A6BA0">
      <w:pPr>
        <w:spacing w:after="120"/>
        <w:jc w:val="both"/>
        <w:rPr>
          <w:rFonts w:ascii="Times New Roman" w:hAnsi="Times New Roman" w:cs="Times New Roman"/>
          <w:sz w:val="25"/>
          <w:szCs w:val="25"/>
          <w:lang w:val="bg-BG"/>
        </w:rPr>
      </w:pPr>
      <w:r>
        <w:rPr>
          <w:rFonts w:ascii="Times New Roman" w:hAnsi="Times New Roman" w:cs="Times New Roman"/>
          <w:sz w:val="25"/>
          <w:szCs w:val="25"/>
          <w:lang w:val="bg-BG"/>
        </w:rPr>
        <w:tab/>
        <w:t>В тази фактическа обстановка и при липса на техническа възможност и капацитет в п</w:t>
      </w:r>
      <w:r w:rsidRPr="008B429C">
        <w:rPr>
          <w:rFonts w:ascii="Times New Roman" w:hAnsi="Times New Roman" w:cs="Times New Roman"/>
          <w:sz w:val="25"/>
          <w:szCs w:val="25"/>
          <w:lang w:val="bg-BG"/>
        </w:rPr>
        <w:t>ръстен 110 kV  “Варна север – Зл. Пясъци – Албена – Балчик – Каварна – AES - Шабла – Ген. Тошево – Добруджа”</w:t>
      </w:r>
      <w:r>
        <w:rPr>
          <w:rFonts w:ascii="Times New Roman" w:hAnsi="Times New Roman" w:cs="Times New Roman"/>
          <w:sz w:val="25"/>
          <w:szCs w:val="25"/>
          <w:lang w:val="bg-BG"/>
        </w:rPr>
        <w:t>, преносното предприятие „НЕК“ ЕАД сключва договор с „ЕЙ И ЕС ГЕО ЕНЕРДЖИ“</w:t>
      </w:r>
      <w:r w:rsidRPr="008B429C">
        <w:rPr>
          <w:rFonts w:ascii="Times New Roman" w:hAnsi="Times New Roman" w:cs="Times New Roman"/>
          <w:sz w:val="25"/>
          <w:szCs w:val="25"/>
          <w:lang w:val="bg-BG"/>
        </w:rPr>
        <w:t xml:space="preserve"> ООД</w:t>
      </w:r>
      <w:r>
        <w:rPr>
          <w:rFonts w:ascii="Times New Roman" w:hAnsi="Times New Roman" w:cs="Times New Roman"/>
          <w:sz w:val="25"/>
          <w:szCs w:val="25"/>
          <w:lang w:val="bg-BG"/>
        </w:rPr>
        <w:t xml:space="preserve"> за присъединяване на </w:t>
      </w:r>
      <w:r w:rsidRPr="008B429C">
        <w:rPr>
          <w:rFonts w:ascii="Times New Roman" w:hAnsi="Times New Roman" w:cs="Times New Roman"/>
          <w:sz w:val="25"/>
          <w:szCs w:val="25"/>
          <w:lang w:val="bg-BG"/>
        </w:rPr>
        <w:t>ВяЕЦ</w:t>
      </w:r>
      <w:r>
        <w:rPr>
          <w:rFonts w:ascii="Times New Roman" w:hAnsi="Times New Roman" w:cs="Times New Roman"/>
          <w:sz w:val="25"/>
          <w:szCs w:val="25"/>
          <w:lang w:val="bg-BG"/>
        </w:rPr>
        <w:t xml:space="preserve"> „</w:t>
      </w:r>
      <w:r>
        <w:rPr>
          <w:rFonts w:ascii="Times New Roman" w:hAnsi="Times New Roman" w:cs="Times New Roman"/>
          <w:sz w:val="25"/>
          <w:szCs w:val="25"/>
        </w:rPr>
        <w:t>AES</w:t>
      </w:r>
      <w:r w:rsidRPr="008B429C">
        <w:rPr>
          <w:rFonts w:ascii="Times New Roman" w:hAnsi="Times New Roman" w:cs="Times New Roman"/>
          <w:sz w:val="25"/>
          <w:szCs w:val="25"/>
          <w:lang w:val="bg-BG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bg-BG"/>
        </w:rPr>
        <w:t xml:space="preserve">Св. Никола“ с мощност от 156 </w:t>
      </w:r>
      <w:r>
        <w:rPr>
          <w:rFonts w:ascii="Times New Roman" w:hAnsi="Times New Roman" w:cs="Times New Roman"/>
          <w:sz w:val="25"/>
          <w:szCs w:val="25"/>
        </w:rPr>
        <w:t>MW</w:t>
      </w:r>
      <w:r>
        <w:rPr>
          <w:rStyle w:val="FootnoteReference"/>
          <w:rFonts w:ascii="Times New Roman" w:hAnsi="Times New Roman" w:cs="Times New Roman"/>
          <w:sz w:val="25"/>
          <w:szCs w:val="25"/>
        </w:rPr>
        <w:footnoteReference w:id="3"/>
      </w:r>
      <w:r w:rsidRPr="008B429C">
        <w:rPr>
          <w:rFonts w:ascii="Times New Roman" w:hAnsi="Times New Roman" w:cs="Times New Roman"/>
          <w:sz w:val="25"/>
          <w:szCs w:val="25"/>
          <w:lang w:val="bg-BG"/>
        </w:rPr>
        <w:t>.</w:t>
      </w:r>
      <w:r>
        <w:rPr>
          <w:rFonts w:ascii="Times New Roman" w:hAnsi="Times New Roman" w:cs="Times New Roman"/>
          <w:sz w:val="25"/>
          <w:szCs w:val="25"/>
          <w:lang w:val="bg-BG"/>
        </w:rPr>
        <w:t xml:space="preserve"> Н</w:t>
      </w:r>
      <w:r w:rsidRPr="00241E5D">
        <w:rPr>
          <w:rFonts w:ascii="Times New Roman" w:hAnsi="Times New Roman" w:cs="Times New Roman"/>
          <w:sz w:val="25"/>
          <w:szCs w:val="25"/>
          <w:lang w:val="bg-BG"/>
        </w:rPr>
        <w:t xml:space="preserve">а 22.09.2009 г. е проведен Технически съвет с участие на специалисти от </w:t>
      </w:r>
      <w:r>
        <w:rPr>
          <w:rFonts w:ascii="Times New Roman" w:hAnsi="Times New Roman" w:cs="Times New Roman"/>
          <w:sz w:val="25"/>
          <w:szCs w:val="25"/>
          <w:lang w:val="bg-BG"/>
        </w:rPr>
        <w:t>„</w:t>
      </w:r>
      <w:r w:rsidRPr="00241E5D">
        <w:rPr>
          <w:rFonts w:ascii="Times New Roman" w:hAnsi="Times New Roman" w:cs="Times New Roman"/>
          <w:sz w:val="25"/>
          <w:szCs w:val="25"/>
          <w:lang w:val="bg-BG"/>
        </w:rPr>
        <w:t>НЕК</w:t>
      </w:r>
      <w:r>
        <w:rPr>
          <w:rFonts w:ascii="Times New Roman" w:hAnsi="Times New Roman" w:cs="Times New Roman"/>
          <w:sz w:val="25"/>
          <w:szCs w:val="25"/>
          <w:lang w:val="bg-BG"/>
        </w:rPr>
        <w:t>“</w:t>
      </w:r>
      <w:r w:rsidRPr="00241E5D">
        <w:rPr>
          <w:rFonts w:ascii="Times New Roman" w:hAnsi="Times New Roman" w:cs="Times New Roman"/>
          <w:sz w:val="25"/>
          <w:szCs w:val="25"/>
          <w:lang w:val="bg-BG"/>
        </w:rPr>
        <w:t xml:space="preserve"> ЕАД и </w:t>
      </w:r>
      <w:r>
        <w:rPr>
          <w:rFonts w:ascii="Times New Roman" w:hAnsi="Times New Roman" w:cs="Times New Roman"/>
          <w:sz w:val="25"/>
          <w:szCs w:val="25"/>
          <w:lang w:val="bg-BG"/>
        </w:rPr>
        <w:t>„</w:t>
      </w:r>
      <w:r w:rsidRPr="00241E5D">
        <w:rPr>
          <w:rFonts w:ascii="Times New Roman" w:hAnsi="Times New Roman" w:cs="Times New Roman"/>
          <w:sz w:val="25"/>
          <w:szCs w:val="25"/>
          <w:lang w:val="bg-BG"/>
        </w:rPr>
        <w:t>ЕСО</w:t>
      </w:r>
      <w:r>
        <w:rPr>
          <w:rFonts w:ascii="Times New Roman" w:hAnsi="Times New Roman" w:cs="Times New Roman"/>
          <w:sz w:val="25"/>
          <w:szCs w:val="25"/>
          <w:lang w:val="bg-BG"/>
        </w:rPr>
        <w:t xml:space="preserve">“ ЕАД, които констатират липсата на капацитет на пръстена и определят допустимите </w:t>
      </w:r>
      <w:r w:rsidRPr="00241E5D">
        <w:rPr>
          <w:rFonts w:ascii="Times New Roman" w:hAnsi="Times New Roman" w:cs="Times New Roman"/>
          <w:sz w:val="25"/>
          <w:szCs w:val="25"/>
          <w:lang w:val="bg-BG"/>
        </w:rPr>
        <w:t>мощности</w:t>
      </w:r>
      <w:r>
        <w:rPr>
          <w:rFonts w:ascii="Times New Roman" w:hAnsi="Times New Roman" w:cs="Times New Roman"/>
          <w:sz w:val="25"/>
          <w:szCs w:val="25"/>
          <w:lang w:val="bg-BG"/>
        </w:rPr>
        <w:t xml:space="preserve"> за работа</w:t>
      </w:r>
      <w:r w:rsidRPr="00241E5D">
        <w:rPr>
          <w:rFonts w:ascii="Times New Roman" w:hAnsi="Times New Roman" w:cs="Times New Roman"/>
          <w:sz w:val="25"/>
          <w:szCs w:val="25"/>
          <w:lang w:val="bg-BG"/>
        </w:rPr>
        <w:t xml:space="preserve"> от ВяЕЦ от гледна точка на недопускане на претоварване и последващи каскадни аварийни изк</w:t>
      </w:r>
      <w:r>
        <w:rPr>
          <w:rFonts w:ascii="Times New Roman" w:hAnsi="Times New Roman" w:cs="Times New Roman"/>
          <w:sz w:val="25"/>
          <w:szCs w:val="25"/>
          <w:lang w:val="bg-BG"/>
        </w:rPr>
        <w:t>лючвания в съществуващата схема при варианти за „AES</w:t>
      </w:r>
      <w:r w:rsidRPr="00241E5D">
        <w:rPr>
          <w:lang w:val="bg-BG"/>
        </w:rPr>
        <w:t xml:space="preserve"> </w:t>
      </w:r>
      <w:r w:rsidRPr="00241E5D">
        <w:rPr>
          <w:rFonts w:ascii="Times New Roman" w:hAnsi="Times New Roman" w:cs="Times New Roman"/>
          <w:sz w:val="25"/>
          <w:szCs w:val="25"/>
          <w:lang w:val="bg-BG"/>
        </w:rPr>
        <w:t>Св. Никола</w:t>
      </w:r>
      <w:r>
        <w:rPr>
          <w:rFonts w:ascii="Times New Roman" w:hAnsi="Times New Roman" w:cs="Times New Roman"/>
          <w:sz w:val="25"/>
          <w:szCs w:val="25"/>
          <w:lang w:val="bg-BG"/>
        </w:rPr>
        <w:t>” – (30 – 100) MW или (</w:t>
      </w:r>
      <w:r w:rsidRPr="00241E5D">
        <w:rPr>
          <w:rFonts w:ascii="Times New Roman" w:hAnsi="Times New Roman" w:cs="Times New Roman"/>
          <w:sz w:val="25"/>
          <w:szCs w:val="25"/>
          <w:lang w:val="bg-BG"/>
        </w:rPr>
        <w:t>30 – 75) MW</w:t>
      </w:r>
      <w:r>
        <w:rPr>
          <w:rFonts w:ascii="Times New Roman" w:hAnsi="Times New Roman" w:cs="Times New Roman"/>
          <w:sz w:val="25"/>
          <w:szCs w:val="25"/>
          <w:lang w:val="bg-BG"/>
        </w:rPr>
        <w:t xml:space="preserve">. </w:t>
      </w:r>
    </w:p>
    <w:p w:rsidR="007A6BA0" w:rsidRDefault="007A6BA0" w:rsidP="007A6BA0">
      <w:pPr>
        <w:spacing w:after="120"/>
        <w:ind w:firstLine="720"/>
        <w:jc w:val="both"/>
        <w:rPr>
          <w:rFonts w:ascii="Times New Roman" w:hAnsi="Times New Roman" w:cs="Times New Roman"/>
          <w:sz w:val="25"/>
          <w:szCs w:val="25"/>
          <w:lang w:val="bg-BG"/>
        </w:rPr>
      </w:pPr>
      <w:r>
        <w:rPr>
          <w:rFonts w:ascii="Times New Roman" w:hAnsi="Times New Roman" w:cs="Times New Roman"/>
          <w:sz w:val="25"/>
          <w:szCs w:val="25"/>
          <w:lang w:val="bg-BG"/>
        </w:rPr>
        <w:t xml:space="preserve">Предвид гореизложеното, следва да бъде обект на проверка дали са били налице законовите предпоставки за даване на становище за присъединяване на </w:t>
      </w:r>
      <w:r w:rsidRPr="00241E5D">
        <w:rPr>
          <w:rFonts w:ascii="Times New Roman" w:hAnsi="Times New Roman" w:cs="Times New Roman"/>
          <w:sz w:val="25"/>
          <w:szCs w:val="25"/>
          <w:lang w:val="bg-BG"/>
        </w:rPr>
        <w:t xml:space="preserve">ВяЕЦ </w:t>
      </w:r>
      <w:r>
        <w:rPr>
          <w:rFonts w:ascii="Times New Roman" w:hAnsi="Times New Roman" w:cs="Times New Roman"/>
          <w:sz w:val="25"/>
          <w:szCs w:val="25"/>
          <w:lang w:val="bg-BG"/>
        </w:rPr>
        <w:t>„</w:t>
      </w:r>
      <w:r w:rsidRPr="00241E5D">
        <w:rPr>
          <w:rFonts w:ascii="Times New Roman" w:hAnsi="Times New Roman" w:cs="Times New Roman"/>
          <w:sz w:val="25"/>
          <w:szCs w:val="25"/>
          <w:lang w:val="bg-BG"/>
        </w:rPr>
        <w:t>AES Св. Никола</w:t>
      </w:r>
      <w:r>
        <w:rPr>
          <w:rFonts w:ascii="Times New Roman" w:hAnsi="Times New Roman" w:cs="Times New Roman"/>
          <w:sz w:val="25"/>
          <w:szCs w:val="25"/>
          <w:lang w:val="bg-BG"/>
        </w:rPr>
        <w:t>“</w:t>
      </w:r>
      <w:r w:rsidRPr="00241E5D">
        <w:rPr>
          <w:rFonts w:ascii="Times New Roman" w:hAnsi="Times New Roman" w:cs="Times New Roman"/>
          <w:sz w:val="25"/>
          <w:szCs w:val="25"/>
          <w:lang w:val="bg-BG"/>
        </w:rPr>
        <w:t xml:space="preserve"> с мощност от 156 MW</w:t>
      </w:r>
      <w:r>
        <w:rPr>
          <w:rFonts w:ascii="Times New Roman" w:hAnsi="Times New Roman" w:cs="Times New Roman"/>
          <w:sz w:val="25"/>
          <w:szCs w:val="25"/>
          <w:lang w:val="bg-BG"/>
        </w:rPr>
        <w:t xml:space="preserve">. Кога е подписан договорът за присъединяване между </w:t>
      </w:r>
      <w:r w:rsidRPr="00241E5D">
        <w:rPr>
          <w:rFonts w:ascii="Times New Roman" w:hAnsi="Times New Roman" w:cs="Times New Roman"/>
          <w:sz w:val="25"/>
          <w:szCs w:val="25"/>
          <w:lang w:val="bg-BG"/>
        </w:rPr>
        <w:t>„ЕЙ И ЕС ГЕО ЕНЕРДЖИ“ ООД</w:t>
      </w:r>
      <w:r>
        <w:rPr>
          <w:rFonts w:ascii="Times New Roman" w:hAnsi="Times New Roman" w:cs="Times New Roman"/>
          <w:sz w:val="25"/>
          <w:szCs w:val="25"/>
          <w:lang w:val="bg-BG"/>
        </w:rPr>
        <w:t xml:space="preserve"> и </w:t>
      </w:r>
      <w:r w:rsidRPr="00241E5D">
        <w:rPr>
          <w:rFonts w:ascii="Times New Roman" w:hAnsi="Times New Roman" w:cs="Times New Roman"/>
          <w:sz w:val="25"/>
          <w:szCs w:val="25"/>
          <w:lang w:val="bg-BG"/>
        </w:rPr>
        <w:t>„НЕК“ ЕАД</w:t>
      </w:r>
      <w:r>
        <w:rPr>
          <w:rFonts w:ascii="Times New Roman" w:hAnsi="Times New Roman" w:cs="Times New Roman"/>
          <w:sz w:val="25"/>
          <w:szCs w:val="25"/>
          <w:lang w:val="bg-BG"/>
        </w:rPr>
        <w:t xml:space="preserve"> – преди техническия съвет от 22.09.2009 г., на който става ясно, че ще се ограничава производствения капацитет на </w:t>
      </w:r>
      <w:r w:rsidRPr="00241E5D">
        <w:rPr>
          <w:rFonts w:ascii="Times New Roman" w:hAnsi="Times New Roman" w:cs="Times New Roman"/>
          <w:sz w:val="25"/>
          <w:szCs w:val="25"/>
          <w:lang w:val="bg-BG"/>
        </w:rPr>
        <w:t xml:space="preserve">ВяЕЦ </w:t>
      </w:r>
      <w:r>
        <w:rPr>
          <w:rFonts w:ascii="Times New Roman" w:hAnsi="Times New Roman" w:cs="Times New Roman"/>
          <w:sz w:val="25"/>
          <w:szCs w:val="25"/>
          <w:lang w:val="bg-BG"/>
        </w:rPr>
        <w:t>„</w:t>
      </w:r>
      <w:r w:rsidRPr="00241E5D">
        <w:rPr>
          <w:rFonts w:ascii="Times New Roman" w:hAnsi="Times New Roman" w:cs="Times New Roman"/>
          <w:sz w:val="25"/>
          <w:szCs w:val="25"/>
          <w:lang w:val="bg-BG"/>
        </w:rPr>
        <w:t>AES Св. Никола</w:t>
      </w:r>
      <w:r>
        <w:rPr>
          <w:rFonts w:ascii="Times New Roman" w:hAnsi="Times New Roman" w:cs="Times New Roman"/>
          <w:sz w:val="25"/>
          <w:szCs w:val="25"/>
          <w:lang w:val="bg-BG"/>
        </w:rPr>
        <w:t xml:space="preserve">“ или след това? Предвидена ли е неустойка и в какъв размер при неосигуряване на възможност за работа на пълен капацитет, дължима от </w:t>
      </w:r>
      <w:r w:rsidRPr="00241E5D">
        <w:rPr>
          <w:rFonts w:ascii="Times New Roman" w:hAnsi="Times New Roman" w:cs="Times New Roman"/>
          <w:sz w:val="25"/>
          <w:szCs w:val="25"/>
          <w:lang w:val="bg-BG"/>
        </w:rPr>
        <w:t xml:space="preserve"> „НЕК“ ЕАД </w:t>
      </w:r>
      <w:r>
        <w:rPr>
          <w:rFonts w:ascii="Times New Roman" w:hAnsi="Times New Roman" w:cs="Times New Roman"/>
          <w:sz w:val="25"/>
          <w:szCs w:val="25"/>
          <w:lang w:val="bg-BG"/>
        </w:rPr>
        <w:t>на „</w:t>
      </w:r>
      <w:r w:rsidRPr="00241E5D">
        <w:rPr>
          <w:rFonts w:ascii="Times New Roman" w:hAnsi="Times New Roman" w:cs="Times New Roman"/>
          <w:sz w:val="25"/>
          <w:szCs w:val="25"/>
          <w:lang w:val="bg-BG"/>
        </w:rPr>
        <w:t>ЕЙ И ЕС ГЕО ЕНЕРДЖИ“ ООД</w:t>
      </w:r>
      <w:r>
        <w:rPr>
          <w:rFonts w:ascii="Times New Roman" w:hAnsi="Times New Roman" w:cs="Times New Roman"/>
          <w:sz w:val="25"/>
          <w:szCs w:val="25"/>
          <w:lang w:val="bg-BG"/>
        </w:rPr>
        <w:t>? Кога е договорена тази неустойка – с договора за присъединяване, с договора за изкупуване на електрическа енергия или с допълнителни споразумения към тях? Кои са лицата, подписали тези правнообвързващи документи от страна на „НЕК“ ЕАД?</w:t>
      </w:r>
    </w:p>
    <w:p w:rsidR="007A6BA0" w:rsidRDefault="007A6BA0" w:rsidP="007A6BA0">
      <w:pPr>
        <w:spacing w:after="120"/>
        <w:ind w:firstLine="720"/>
        <w:jc w:val="both"/>
        <w:rPr>
          <w:rFonts w:ascii="Times New Roman" w:hAnsi="Times New Roman" w:cs="Times New Roman"/>
          <w:sz w:val="25"/>
          <w:szCs w:val="25"/>
          <w:lang w:val="bg-BG"/>
        </w:rPr>
      </w:pPr>
      <w:r>
        <w:rPr>
          <w:rFonts w:ascii="Times New Roman" w:hAnsi="Times New Roman" w:cs="Times New Roman"/>
          <w:sz w:val="25"/>
          <w:szCs w:val="25"/>
          <w:lang w:val="bg-BG"/>
        </w:rPr>
        <w:t xml:space="preserve">Проверката на гореизложените факти и обстоятелства е необходима, за да се установи дали общественият доставчик и към онзи момент преносно предприятие е подписал договор за присъединяване на мощност, за която е било обосновано от техническа гледна точка да се заключи, че не може да бъде осигурен пълен капацитет на работа предвид ограниченията и теснините в мрежата. Ако „НЕК“ ЕАД чрез своите представителни и изпълнителни органи е поело задължение за присъединяване и предоставяне на достъп при пълен капацитет на </w:t>
      </w:r>
      <w:r w:rsidRPr="004E6B6B">
        <w:rPr>
          <w:rFonts w:ascii="Times New Roman" w:hAnsi="Times New Roman" w:cs="Times New Roman"/>
          <w:sz w:val="25"/>
          <w:szCs w:val="25"/>
          <w:lang w:val="bg-BG"/>
        </w:rPr>
        <w:t xml:space="preserve">ВяЕЦ </w:t>
      </w:r>
      <w:r>
        <w:rPr>
          <w:rFonts w:ascii="Times New Roman" w:hAnsi="Times New Roman" w:cs="Times New Roman"/>
          <w:sz w:val="25"/>
          <w:szCs w:val="25"/>
          <w:lang w:val="bg-BG"/>
        </w:rPr>
        <w:t>„</w:t>
      </w:r>
      <w:r w:rsidRPr="004E6B6B">
        <w:rPr>
          <w:rFonts w:ascii="Times New Roman" w:hAnsi="Times New Roman" w:cs="Times New Roman"/>
          <w:sz w:val="25"/>
          <w:szCs w:val="25"/>
          <w:lang w:val="bg-BG"/>
        </w:rPr>
        <w:t>AES Св. Никола</w:t>
      </w:r>
      <w:r>
        <w:rPr>
          <w:rFonts w:ascii="Times New Roman" w:hAnsi="Times New Roman" w:cs="Times New Roman"/>
          <w:sz w:val="25"/>
          <w:szCs w:val="25"/>
          <w:lang w:val="bg-BG"/>
        </w:rPr>
        <w:t xml:space="preserve">“, а впоследствие е наложило наложителни от техническа гледна точка мерки по ограничения на достъпа и същевременно е поело задължение за плащане на наказателни неустойки за тези ограничения, се налага изводът, че тези </w:t>
      </w:r>
      <w:r w:rsidRPr="00814757">
        <w:rPr>
          <w:rFonts w:ascii="Times New Roman" w:hAnsi="Times New Roman" w:cs="Times New Roman"/>
          <w:sz w:val="25"/>
          <w:szCs w:val="25"/>
          <w:lang w:val="bg-BG"/>
        </w:rPr>
        <w:t>представителни и изпълнителни органи</w:t>
      </w:r>
      <w:r>
        <w:rPr>
          <w:rFonts w:ascii="Times New Roman" w:hAnsi="Times New Roman" w:cs="Times New Roman"/>
          <w:sz w:val="25"/>
          <w:szCs w:val="25"/>
          <w:lang w:val="bg-BG"/>
        </w:rPr>
        <w:t xml:space="preserve"> са действали във вреда на държавната енергийна компания и чрез поредица от действия и бездействия са поели от името и за сметка на дружеството финансови задължения в полза на инвеститора на </w:t>
      </w:r>
      <w:r w:rsidRPr="00814757">
        <w:rPr>
          <w:rFonts w:ascii="Times New Roman" w:hAnsi="Times New Roman" w:cs="Times New Roman"/>
          <w:sz w:val="25"/>
          <w:szCs w:val="25"/>
          <w:lang w:val="bg-BG"/>
        </w:rPr>
        <w:t>ВяЕЦ</w:t>
      </w:r>
      <w:r>
        <w:rPr>
          <w:rFonts w:ascii="Times New Roman" w:hAnsi="Times New Roman" w:cs="Times New Roman"/>
          <w:sz w:val="25"/>
          <w:szCs w:val="25"/>
          <w:lang w:val="bg-BG"/>
        </w:rPr>
        <w:t xml:space="preserve"> и във вреда на „НЕК“ ЕАД. Следва да се отбележи, че този енергиен проект и сделките </w:t>
      </w:r>
      <w:r>
        <w:rPr>
          <w:rFonts w:ascii="Times New Roman" w:hAnsi="Times New Roman" w:cs="Times New Roman"/>
          <w:sz w:val="25"/>
          <w:szCs w:val="25"/>
          <w:lang w:val="bg-BG"/>
        </w:rPr>
        <w:lastRenderedPageBreak/>
        <w:t xml:space="preserve">за изкупуване на електроенергията по него са осъществени от инвеститора корпорацията </w:t>
      </w:r>
      <w:r>
        <w:rPr>
          <w:rFonts w:ascii="Times New Roman" w:hAnsi="Times New Roman" w:cs="Times New Roman"/>
          <w:sz w:val="25"/>
          <w:szCs w:val="25"/>
        </w:rPr>
        <w:t>AES</w:t>
      </w:r>
      <w:r w:rsidRPr="004E6B6B">
        <w:rPr>
          <w:rFonts w:ascii="Times New Roman" w:hAnsi="Times New Roman" w:cs="Times New Roman"/>
          <w:sz w:val="25"/>
          <w:szCs w:val="25"/>
          <w:lang w:val="bg-BG"/>
        </w:rPr>
        <w:t>,</w:t>
      </w:r>
      <w:r>
        <w:rPr>
          <w:rFonts w:ascii="Times New Roman" w:hAnsi="Times New Roman" w:cs="Times New Roman"/>
          <w:sz w:val="25"/>
          <w:szCs w:val="25"/>
          <w:lang w:val="bg-BG"/>
        </w:rPr>
        <w:t xml:space="preserve"> който реализира и енергийния проект ТЕЦ „Марица Изток 1“.  </w:t>
      </w:r>
    </w:p>
    <w:p w:rsidR="007A6BA0" w:rsidRDefault="007A6BA0" w:rsidP="007A6BA0">
      <w:pPr>
        <w:spacing w:after="120"/>
        <w:ind w:firstLine="720"/>
        <w:jc w:val="both"/>
        <w:rPr>
          <w:rFonts w:ascii="Times New Roman" w:hAnsi="Times New Roman" w:cs="Times New Roman"/>
          <w:sz w:val="25"/>
          <w:szCs w:val="25"/>
          <w:lang w:val="bg-BG"/>
        </w:rPr>
      </w:pPr>
      <w:r w:rsidRPr="00807F21">
        <w:rPr>
          <w:rFonts w:ascii="Times New Roman" w:hAnsi="Times New Roman" w:cs="Times New Roman"/>
          <w:sz w:val="25"/>
          <w:szCs w:val="25"/>
          <w:lang w:val="bg-BG"/>
        </w:rPr>
        <w:t xml:space="preserve">Безконтролното присъединяване </w:t>
      </w:r>
      <w:r>
        <w:rPr>
          <w:rFonts w:ascii="Times New Roman" w:hAnsi="Times New Roman" w:cs="Times New Roman"/>
          <w:sz w:val="25"/>
          <w:szCs w:val="25"/>
          <w:lang w:val="bg-BG"/>
        </w:rPr>
        <w:t xml:space="preserve">в нарушение на </w:t>
      </w:r>
      <w:r w:rsidRPr="00D74C98">
        <w:rPr>
          <w:rFonts w:ascii="Times New Roman" w:hAnsi="Times New Roman" w:cs="Times New Roman"/>
          <w:sz w:val="25"/>
          <w:szCs w:val="25"/>
          <w:lang w:val="bg-BG"/>
        </w:rPr>
        <w:t>Наредба № 6 от 09.06.2004 г.</w:t>
      </w:r>
      <w:r>
        <w:rPr>
          <w:rFonts w:ascii="Times New Roman" w:hAnsi="Times New Roman" w:cs="Times New Roman"/>
          <w:sz w:val="25"/>
          <w:szCs w:val="25"/>
          <w:lang w:val="bg-BG"/>
        </w:rPr>
        <w:t xml:space="preserve"> </w:t>
      </w:r>
      <w:r w:rsidRPr="00807F21">
        <w:rPr>
          <w:rFonts w:ascii="Times New Roman" w:hAnsi="Times New Roman" w:cs="Times New Roman"/>
          <w:sz w:val="25"/>
          <w:szCs w:val="25"/>
          <w:lang w:val="bg-BG"/>
        </w:rPr>
        <w:t xml:space="preserve">при липса на правила, свързани с преразпределяне на разходите при присъединяване за разширяване на теснините в мрежата, доведе до поемане на цялата финансова тежест чрез добавка </w:t>
      </w:r>
      <w:r>
        <w:rPr>
          <w:rFonts w:ascii="Times New Roman" w:hAnsi="Times New Roman" w:cs="Times New Roman"/>
          <w:sz w:val="25"/>
          <w:szCs w:val="25"/>
          <w:lang w:val="bg-BG"/>
        </w:rPr>
        <w:t>„</w:t>
      </w:r>
      <w:r w:rsidRPr="00807F21">
        <w:rPr>
          <w:rFonts w:ascii="Times New Roman" w:hAnsi="Times New Roman" w:cs="Times New Roman"/>
          <w:sz w:val="25"/>
          <w:szCs w:val="25"/>
          <w:lang w:val="bg-BG"/>
        </w:rPr>
        <w:t>задължения към обществото</w:t>
      </w:r>
      <w:r>
        <w:rPr>
          <w:rFonts w:ascii="Times New Roman" w:hAnsi="Times New Roman" w:cs="Times New Roman"/>
          <w:sz w:val="25"/>
          <w:szCs w:val="25"/>
          <w:lang w:val="bg-BG"/>
        </w:rPr>
        <w:t>“</w:t>
      </w:r>
      <w:r w:rsidRPr="00807F21">
        <w:rPr>
          <w:rFonts w:ascii="Times New Roman" w:hAnsi="Times New Roman" w:cs="Times New Roman"/>
          <w:sz w:val="25"/>
          <w:szCs w:val="25"/>
          <w:lang w:val="bg-BG"/>
        </w:rPr>
        <w:t xml:space="preserve"> от българския</w:t>
      </w:r>
      <w:r>
        <w:rPr>
          <w:rFonts w:ascii="Times New Roman" w:hAnsi="Times New Roman" w:cs="Times New Roman"/>
          <w:sz w:val="25"/>
          <w:szCs w:val="25"/>
          <w:lang w:val="bg-BG"/>
        </w:rPr>
        <w:t xml:space="preserve"> краен потребител</w:t>
      </w:r>
      <w:r w:rsidRPr="00807F21">
        <w:rPr>
          <w:rFonts w:ascii="Times New Roman" w:hAnsi="Times New Roman" w:cs="Times New Roman"/>
          <w:sz w:val="25"/>
          <w:szCs w:val="25"/>
          <w:lang w:val="bg-BG"/>
        </w:rPr>
        <w:t xml:space="preserve">. </w:t>
      </w:r>
      <w:r>
        <w:rPr>
          <w:rFonts w:ascii="Times New Roman" w:hAnsi="Times New Roman" w:cs="Times New Roman"/>
          <w:sz w:val="25"/>
          <w:szCs w:val="25"/>
          <w:lang w:val="bg-BG"/>
        </w:rPr>
        <w:t>С</w:t>
      </w:r>
      <w:r w:rsidRPr="00D74C98">
        <w:rPr>
          <w:rFonts w:ascii="Times New Roman" w:hAnsi="Times New Roman" w:cs="Times New Roman"/>
          <w:sz w:val="25"/>
          <w:szCs w:val="25"/>
          <w:lang w:val="bg-BG"/>
        </w:rPr>
        <w:t xml:space="preserve">ледва да бъде обект на </w:t>
      </w:r>
      <w:r>
        <w:rPr>
          <w:rFonts w:ascii="Times New Roman" w:hAnsi="Times New Roman" w:cs="Times New Roman"/>
          <w:sz w:val="25"/>
          <w:szCs w:val="25"/>
          <w:lang w:val="bg-BG"/>
        </w:rPr>
        <w:t xml:space="preserve">проверка </w:t>
      </w:r>
      <w:r w:rsidRPr="00807F21">
        <w:rPr>
          <w:rFonts w:ascii="Times New Roman" w:hAnsi="Times New Roman" w:cs="Times New Roman"/>
          <w:sz w:val="25"/>
          <w:szCs w:val="25"/>
          <w:lang w:val="bg-BG"/>
        </w:rPr>
        <w:t xml:space="preserve">кои са отговорните лица от </w:t>
      </w:r>
      <w:r>
        <w:rPr>
          <w:rFonts w:ascii="Times New Roman" w:hAnsi="Times New Roman" w:cs="Times New Roman"/>
          <w:sz w:val="25"/>
          <w:szCs w:val="25"/>
          <w:lang w:val="bg-BG"/>
        </w:rPr>
        <w:t>„</w:t>
      </w:r>
      <w:r w:rsidRPr="00807F21">
        <w:rPr>
          <w:rFonts w:ascii="Times New Roman" w:hAnsi="Times New Roman" w:cs="Times New Roman"/>
          <w:sz w:val="25"/>
          <w:szCs w:val="25"/>
          <w:lang w:val="bg-BG"/>
        </w:rPr>
        <w:t>НЕК</w:t>
      </w:r>
      <w:r>
        <w:rPr>
          <w:rFonts w:ascii="Times New Roman" w:hAnsi="Times New Roman" w:cs="Times New Roman"/>
          <w:sz w:val="25"/>
          <w:szCs w:val="25"/>
          <w:lang w:val="bg-BG"/>
        </w:rPr>
        <w:t>“ ЕАД</w:t>
      </w:r>
      <w:r w:rsidRPr="00807F21">
        <w:rPr>
          <w:rFonts w:ascii="Times New Roman" w:hAnsi="Times New Roman" w:cs="Times New Roman"/>
          <w:sz w:val="25"/>
          <w:szCs w:val="25"/>
          <w:lang w:val="bg-BG"/>
        </w:rPr>
        <w:t>, които са подписвали становище</w:t>
      </w:r>
      <w:r>
        <w:rPr>
          <w:rFonts w:ascii="Times New Roman" w:hAnsi="Times New Roman" w:cs="Times New Roman"/>
          <w:sz w:val="25"/>
          <w:szCs w:val="25"/>
          <w:lang w:val="bg-BG"/>
        </w:rPr>
        <w:t xml:space="preserve"> за присъединяване</w:t>
      </w:r>
      <w:r w:rsidRPr="00807F21">
        <w:rPr>
          <w:rFonts w:ascii="Times New Roman" w:hAnsi="Times New Roman" w:cs="Times New Roman"/>
          <w:sz w:val="25"/>
          <w:szCs w:val="25"/>
          <w:lang w:val="bg-BG"/>
        </w:rPr>
        <w:t xml:space="preserve"> в разрез с Наредбата за присъединяване и при липса на техническ</w:t>
      </w:r>
      <w:r>
        <w:rPr>
          <w:rFonts w:ascii="Times New Roman" w:hAnsi="Times New Roman" w:cs="Times New Roman"/>
          <w:sz w:val="25"/>
          <w:szCs w:val="25"/>
          <w:lang w:val="bg-BG"/>
        </w:rPr>
        <w:t>и капацитет на преносната мрежа във вреда на обществения интерес.</w:t>
      </w:r>
    </w:p>
    <w:p w:rsidR="007A6BA0" w:rsidRPr="0043468A" w:rsidRDefault="007A6BA0" w:rsidP="007A6BA0">
      <w:pPr>
        <w:spacing w:after="120"/>
        <w:ind w:firstLine="720"/>
        <w:jc w:val="both"/>
        <w:rPr>
          <w:rFonts w:ascii="Times New Roman" w:hAnsi="Times New Roman" w:cs="Times New Roman"/>
          <w:sz w:val="25"/>
          <w:szCs w:val="25"/>
          <w:lang w:val="bg-BG"/>
        </w:rPr>
      </w:pPr>
    </w:p>
    <w:p w:rsidR="007A6BA0" w:rsidRPr="00DD31EF" w:rsidRDefault="007A6BA0" w:rsidP="007A6BA0">
      <w:pPr>
        <w:spacing w:after="120"/>
        <w:ind w:firstLine="720"/>
        <w:jc w:val="both"/>
        <w:rPr>
          <w:rFonts w:ascii="Times New Roman" w:hAnsi="Times New Roman" w:cs="Times New Roman"/>
          <w:b/>
          <w:i/>
          <w:sz w:val="25"/>
          <w:szCs w:val="25"/>
          <w:lang w:val="bg-BG"/>
        </w:rPr>
      </w:pPr>
      <w:r w:rsidRPr="00DD31EF">
        <w:rPr>
          <w:rFonts w:ascii="Times New Roman" w:hAnsi="Times New Roman" w:cs="Times New Roman"/>
          <w:b/>
          <w:i/>
          <w:sz w:val="25"/>
          <w:szCs w:val="25"/>
        </w:rPr>
        <w:t>III</w:t>
      </w:r>
      <w:r w:rsidRPr="004938E3">
        <w:rPr>
          <w:rFonts w:ascii="Times New Roman" w:hAnsi="Times New Roman" w:cs="Times New Roman"/>
          <w:b/>
          <w:i/>
          <w:sz w:val="25"/>
          <w:szCs w:val="25"/>
          <w:lang w:val="bg-BG"/>
        </w:rPr>
        <w:t xml:space="preserve">. </w:t>
      </w:r>
      <w:r w:rsidRPr="00DD31EF">
        <w:rPr>
          <w:rFonts w:ascii="Times New Roman" w:hAnsi="Times New Roman" w:cs="Times New Roman"/>
          <w:b/>
          <w:i/>
          <w:sz w:val="25"/>
          <w:szCs w:val="25"/>
          <w:lang w:val="bg-BG"/>
        </w:rPr>
        <w:t xml:space="preserve">2.  Изкупуване на електрическа енергия от ВЕИ-централи при липса на законовите предпоставки </w:t>
      </w:r>
    </w:p>
    <w:p w:rsidR="007A6BA0" w:rsidRPr="000F04E4" w:rsidRDefault="007A6BA0" w:rsidP="007A6BA0">
      <w:pPr>
        <w:spacing w:after="120"/>
        <w:ind w:firstLine="720"/>
        <w:jc w:val="both"/>
        <w:rPr>
          <w:rFonts w:ascii="Times New Roman" w:hAnsi="Times New Roman" w:cs="Times New Roman"/>
          <w:b/>
          <w:sz w:val="25"/>
          <w:szCs w:val="25"/>
          <w:lang w:val="bg-BG"/>
        </w:rPr>
      </w:pPr>
      <w:r>
        <w:rPr>
          <w:rFonts w:ascii="Times New Roman" w:hAnsi="Times New Roman" w:cs="Times New Roman"/>
          <w:sz w:val="25"/>
          <w:szCs w:val="25"/>
          <w:lang w:val="bg-BG"/>
        </w:rPr>
        <w:t xml:space="preserve">В </w:t>
      </w:r>
      <w:r w:rsidRPr="004E6B6B">
        <w:rPr>
          <w:rFonts w:ascii="Times New Roman" w:hAnsi="Times New Roman" w:cs="Times New Roman"/>
          <w:sz w:val="25"/>
          <w:szCs w:val="25"/>
          <w:lang w:val="bg-BG"/>
        </w:rPr>
        <w:t>Доклад</w:t>
      </w:r>
      <w:r>
        <w:rPr>
          <w:rFonts w:ascii="Times New Roman" w:hAnsi="Times New Roman" w:cs="Times New Roman"/>
          <w:sz w:val="25"/>
          <w:szCs w:val="25"/>
          <w:lang w:val="bg-BG"/>
        </w:rPr>
        <w:t xml:space="preserve">а </w:t>
      </w:r>
      <w:r w:rsidRPr="004E6B6B">
        <w:rPr>
          <w:rFonts w:ascii="Times New Roman" w:hAnsi="Times New Roman" w:cs="Times New Roman"/>
          <w:sz w:val="25"/>
          <w:szCs w:val="25"/>
          <w:lang w:val="bg-BG"/>
        </w:rPr>
        <w:t>на Временната анкетна комисия за</w:t>
      </w:r>
      <w:r>
        <w:rPr>
          <w:rFonts w:ascii="Times New Roman" w:hAnsi="Times New Roman" w:cs="Times New Roman"/>
          <w:sz w:val="25"/>
          <w:szCs w:val="25"/>
          <w:lang w:val="bg-BG"/>
        </w:rPr>
        <w:t xml:space="preserve"> енергетика, който прилагаме, се изнасят данни за изкупуване на електрическа енергия от ВЕИ-централи преди дата на издаване на разрешение за ползване. Съгласно Закона за енергията от </w:t>
      </w:r>
      <w:r w:rsidRPr="004E6B6B">
        <w:rPr>
          <w:rFonts w:ascii="Times New Roman" w:hAnsi="Times New Roman" w:cs="Times New Roman"/>
          <w:sz w:val="25"/>
          <w:szCs w:val="25"/>
          <w:lang w:val="bg-BG"/>
        </w:rPr>
        <w:t xml:space="preserve">възобновяеми източници </w:t>
      </w:r>
      <w:r>
        <w:rPr>
          <w:rFonts w:ascii="Times New Roman" w:hAnsi="Times New Roman" w:cs="Times New Roman"/>
          <w:sz w:val="25"/>
          <w:szCs w:val="25"/>
          <w:lang w:val="bg-BG"/>
        </w:rPr>
        <w:t xml:space="preserve">(„ЗЕВИ“) електрическата енергия от ВЕИ-централи подлежи на задължително изкупуване след въвеждането й в експлоатация. Неправомерното изкупуване по преференциалната цена от страна на крайните снабдители води до увеличаване на цените за крайните потребители и бизнеса чрез увеличаване на ценообразуващата компонента „добавка зелена енергия“. Изпълнителните органи на крайните снабдители са сключвали сделки, за които съгласно законодателството не са били задължени и по този начин са извършили разходи, които не се поемат от крайните снабдители, а се компенсират от всички крайни потребители на електрическа енергия чрез компесаторния механизъм по плащане на добавката. Поради това за крайните снабдители не възниква стимул да спазват законовите разпоредби и да не изкупуват зелената енергия от енергиен обект без разрешение за експлоатация. Тези случаи следва да разследват и да бъде потърсена отговорност на длъжностните лица, допуснали извършване на разходите от крайните снабдител, осъществяващи лицензионна дейност в обществен интерес. Нещо повече, от публикации в медиите и Доклада става ясно, че КЕВР е констатирала тези нарушения, но не е предприела мерки. </w:t>
      </w:r>
      <w:r w:rsidRPr="000F04E4">
        <w:rPr>
          <w:rFonts w:ascii="Times New Roman" w:hAnsi="Times New Roman" w:cs="Times New Roman"/>
          <w:b/>
          <w:sz w:val="25"/>
          <w:szCs w:val="25"/>
          <w:lang w:val="bg-BG"/>
        </w:rPr>
        <w:t xml:space="preserve">При тази фактическа обстановка КЕВР е следвало да наложи принудителни административни и административно-наказателни мерки срещу крайните снабдители, както и да откаже възстановяване на разходите за неподлежащата на изкупуване електрическа енергия, или да ги прихване през следващия регулаторен период, а не да ги признава и включва като ценообразуващ елемент от цените на крайните български потребители. </w:t>
      </w:r>
    </w:p>
    <w:p w:rsidR="007A6BA0" w:rsidRPr="000F04E4" w:rsidRDefault="007A6BA0" w:rsidP="007A6BA0">
      <w:pPr>
        <w:spacing w:after="120"/>
        <w:jc w:val="both"/>
        <w:rPr>
          <w:rFonts w:ascii="Times New Roman" w:hAnsi="Times New Roman" w:cs="Times New Roman"/>
          <w:b/>
          <w:sz w:val="25"/>
          <w:szCs w:val="25"/>
          <w:lang w:val="bg-BG"/>
        </w:rPr>
      </w:pPr>
      <w:r>
        <w:rPr>
          <w:rFonts w:ascii="Times New Roman" w:hAnsi="Times New Roman" w:cs="Times New Roman"/>
          <w:sz w:val="25"/>
          <w:szCs w:val="25"/>
          <w:lang w:val="bg-BG"/>
        </w:rPr>
        <w:tab/>
      </w:r>
      <w:r w:rsidRPr="000F04E4">
        <w:rPr>
          <w:rFonts w:ascii="Times New Roman" w:hAnsi="Times New Roman" w:cs="Times New Roman"/>
          <w:b/>
          <w:sz w:val="25"/>
          <w:szCs w:val="25"/>
          <w:lang w:val="bg-BG"/>
        </w:rPr>
        <w:t>В медиите</w:t>
      </w:r>
      <w:r w:rsidRPr="000F04E4">
        <w:rPr>
          <w:rStyle w:val="FootnoteReference"/>
          <w:rFonts w:ascii="Times New Roman" w:hAnsi="Times New Roman" w:cs="Times New Roman"/>
          <w:b/>
          <w:sz w:val="25"/>
          <w:szCs w:val="25"/>
          <w:lang w:val="bg-BG"/>
        </w:rPr>
        <w:footnoteReference w:id="4"/>
      </w:r>
      <w:r w:rsidRPr="000F04E4">
        <w:rPr>
          <w:rFonts w:ascii="Times New Roman" w:hAnsi="Times New Roman" w:cs="Times New Roman"/>
          <w:b/>
          <w:sz w:val="25"/>
          <w:szCs w:val="25"/>
          <w:lang w:val="bg-BG"/>
        </w:rPr>
        <w:t xml:space="preserve"> се изнасят данни и за флагратни нарушения за работа на фотоволтаични централи през нощно време, когато липсва енергийния източник слънцегреене и за изкупуване на електрическа енергия от тези централи от страна на крайните снабдители и обществения доставчик.</w:t>
      </w:r>
      <w:r>
        <w:rPr>
          <w:rFonts w:ascii="Times New Roman" w:hAnsi="Times New Roman" w:cs="Times New Roman"/>
          <w:sz w:val="25"/>
          <w:szCs w:val="25"/>
          <w:lang w:val="bg-BG"/>
        </w:rPr>
        <w:t xml:space="preserve"> Не са необходими специални знания в Електроенергетиката, за да се достигне до извода, че през нощно време фотоволтачичните централи не могат да произвеждат електрическа енергия. Следователно е налице схема, при която електрическа енергия, произвеждана не чрез генериращи мощности от ВЕИ, а чрез конвенционални източници се доставя в електроенергийната мрежа и се изкупува по преференциални цени. В тази връзка, моля да изискате справка от „ЕСО“ ЕАД за генерация и товар на електроенергийната система през нощно време от работещи фотоволтаични централи. </w:t>
      </w:r>
      <w:r w:rsidRPr="000F04E4">
        <w:rPr>
          <w:rFonts w:ascii="Times New Roman" w:hAnsi="Times New Roman" w:cs="Times New Roman"/>
          <w:b/>
          <w:sz w:val="25"/>
          <w:szCs w:val="25"/>
          <w:lang w:val="bg-BG"/>
        </w:rPr>
        <w:t xml:space="preserve">Тези закононарушения отново имат за последица увеличаването на цените на крайните потребители чрез добавка „задължения към обществото“. </w:t>
      </w:r>
    </w:p>
    <w:p w:rsidR="007A6BA0" w:rsidRDefault="007A6BA0" w:rsidP="007A6BA0">
      <w:pPr>
        <w:spacing w:after="120"/>
        <w:jc w:val="both"/>
        <w:rPr>
          <w:rFonts w:ascii="Times New Roman" w:hAnsi="Times New Roman" w:cs="Times New Roman"/>
          <w:sz w:val="25"/>
          <w:szCs w:val="25"/>
          <w:lang w:val="bg-BG"/>
        </w:rPr>
      </w:pPr>
      <w:r>
        <w:rPr>
          <w:rFonts w:ascii="Times New Roman" w:hAnsi="Times New Roman" w:cs="Times New Roman"/>
          <w:sz w:val="25"/>
          <w:szCs w:val="25"/>
          <w:lang w:val="bg-BG"/>
        </w:rPr>
        <w:tab/>
      </w:r>
      <w:r w:rsidRPr="000F04E4">
        <w:rPr>
          <w:rFonts w:ascii="Times New Roman" w:hAnsi="Times New Roman" w:cs="Times New Roman"/>
          <w:b/>
          <w:sz w:val="25"/>
          <w:szCs w:val="25"/>
          <w:lang w:val="bg-BG"/>
        </w:rPr>
        <w:t>Други флагратни нарушения са свързани с ВЕИ-централи, чиито изграждане е било финансирано по мярка 311 и мярка 312 от Програма за развитие на селските райони и чиято електрическа енергия се изкупува от крайните снабдители по пълната преференциална цена, определена от КЕВР.</w:t>
      </w:r>
      <w:r>
        <w:rPr>
          <w:rFonts w:ascii="Times New Roman" w:hAnsi="Times New Roman" w:cs="Times New Roman"/>
          <w:sz w:val="25"/>
          <w:szCs w:val="25"/>
          <w:lang w:val="bg-BG"/>
        </w:rPr>
        <w:t xml:space="preserve"> Става въпрос за ВЕИ-производители, които са укрили обстоятелството, че са получили европейско финансиране с цел набавяне на облага в тяхна полза, изразяваща се в приходи от продажба на електрическа енергия по пълната преференциална цена. Отново става въпрос за неизпълнение на регулаторни правомощия от страна на КЕВР и от председателя на КЕВР, който изпълнява функциите на административно-наказващ орган. Производителите, получили европейско финансиране, трябва да продават електрическа енергия по преференциални цени, съобразени с обстоятелството на предоставената  безвъзмездна финансова помощ по изграждане на инвестицията. По този начин отново се натоварва крайния потребител с недължими разходи, направени от крайните снабдители и включени в добавка „зелена енергия“ / „задължения към обществото“. </w:t>
      </w:r>
      <w:r w:rsidRPr="000F04E4">
        <w:rPr>
          <w:rFonts w:ascii="Times New Roman" w:hAnsi="Times New Roman" w:cs="Times New Roman"/>
          <w:b/>
          <w:sz w:val="25"/>
          <w:szCs w:val="25"/>
          <w:lang w:val="bg-BG"/>
        </w:rPr>
        <w:t>Тези разходи представляват неправомерна облага, получена от ВЕИ-производителите, които са се възползвали от два способа за подпомагане в нарушение на правото на Европейския съюз и следва КЕВР да откаже признаването и да прихване и/или изключи направените разходи от цените на крайните потребители.</w:t>
      </w:r>
      <w:r>
        <w:rPr>
          <w:rFonts w:ascii="Times New Roman" w:hAnsi="Times New Roman" w:cs="Times New Roman"/>
          <w:sz w:val="25"/>
          <w:szCs w:val="25"/>
          <w:lang w:val="bg-BG"/>
        </w:rPr>
        <w:t xml:space="preserve"> Това ще принуди крайните снабдители, от своя страна, да предявят по гражданскоправен ред връщане на недължимо платените цени и евентуално да искат унищожаване на договорите за изкупуване на електрическа енергия поради измама. </w:t>
      </w:r>
    </w:p>
    <w:p w:rsidR="007A6BA0" w:rsidRPr="00EF788C" w:rsidRDefault="007A6BA0" w:rsidP="007A6BA0">
      <w:pPr>
        <w:spacing w:after="120"/>
        <w:jc w:val="both"/>
        <w:rPr>
          <w:rFonts w:ascii="Times New Roman" w:hAnsi="Times New Roman" w:cs="Times New Roman"/>
          <w:b/>
          <w:sz w:val="25"/>
          <w:szCs w:val="25"/>
          <w:lang w:val="bg-BG"/>
        </w:rPr>
      </w:pPr>
      <w:r>
        <w:rPr>
          <w:rFonts w:ascii="Times New Roman" w:hAnsi="Times New Roman" w:cs="Times New Roman"/>
          <w:sz w:val="25"/>
          <w:szCs w:val="25"/>
          <w:lang w:val="bg-BG"/>
        </w:rPr>
        <w:tab/>
      </w:r>
      <w:r w:rsidRPr="00EF788C">
        <w:rPr>
          <w:rFonts w:ascii="Times New Roman" w:hAnsi="Times New Roman" w:cs="Times New Roman"/>
          <w:b/>
          <w:sz w:val="25"/>
          <w:szCs w:val="25"/>
          <w:lang w:val="bg-BG"/>
        </w:rPr>
        <w:t>Във връзка с гореизложеното, са необходими спешни мерки по въвеждане и прилагането на компенсаторен механизъм от КЕВР, който да регулира изключване на направените разходи от крайните снабдители и обществения доставчик за изкупена енергия от ВЕИ, която съгласно ЗЕВИ не е била предмет на задължително изкупуване (поради гореизложените причини). Тоест да се постигне справедливия ефект по възстановяване на вече събраните приходи от добавката „зелена енергия“ / „задължения към обществото“, която е била недължимо възстановена на крайните снабдители.</w:t>
      </w:r>
    </w:p>
    <w:p w:rsidR="007A6BA0" w:rsidRDefault="007A6BA0" w:rsidP="007A6BA0">
      <w:pPr>
        <w:spacing w:after="120"/>
        <w:jc w:val="both"/>
        <w:rPr>
          <w:rFonts w:ascii="Times New Roman" w:hAnsi="Times New Roman" w:cs="Times New Roman"/>
          <w:sz w:val="25"/>
          <w:szCs w:val="25"/>
          <w:lang w:val="bg-BG"/>
        </w:rPr>
      </w:pPr>
    </w:p>
    <w:p w:rsidR="007A6BA0" w:rsidRPr="00DD31EF" w:rsidRDefault="007A6BA0" w:rsidP="007A6BA0">
      <w:pPr>
        <w:spacing w:after="120"/>
        <w:ind w:firstLine="720"/>
        <w:jc w:val="both"/>
        <w:rPr>
          <w:rFonts w:ascii="Times New Roman" w:hAnsi="Times New Roman" w:cs="Times New Roman"/>
          <w:b/>
          <w:i/>
          <w:sz w:val="25"/>
          <w:szCs w:val="25"/>
          <w:lang w:val="bg-BG"/>
        </w:rPr>
      </w:pPr>
      <w:r w:rsidRPr="00DD31EF">
        <w:rPr>
          <w:rFonts w:ascii="Times New Roman" w:hAnsi="Times New Roman" w:cs="Times New Roman"/>
          <w:b/>
          <w:i/>
          <w:sz w:val="25"/>
          <w:szCs w:val="25"/>
        </w:rPr>
        <w:t>III</w:t>
      </w:r>
      <w:r w:rsidRPr="00DD31EF">
        <w:rPr>
          <w:rFonts w:ascii="Times New Roman" w:hAnsi="Times New Roman" w:cs="Times New Roman"/>
          <w:b/>
          <w:i/>
          <w:sz w:val="25"/>
          <w:szCs w:val="25"/>
          <w:lang w:val="bg-BG"/>
        </w:rPr>
        <w:t xml:space="preserve">. 3. Действия по издаване на разрешения за ползване на ВЕИ-централи през юни 2012 г. </w:t>
      </w:r>
    </w:p>
    <w:p w:rsidR="007A6BA0" w:rsidRDefault="007A6BA0" w:rsidP="007A6BA0">
      <w:pPr>
        <w:spacing w:after="120"/>
        <w:ind w:firstLine="720"/>
        <w:jc w:val="both"/>
        <w:rPr>
          <w:rFonts w:ascii="Times New Roman" w:hAnsi="Times New Roman" w:cs="Times New Roman"/>
          <w:sz w:val="25"/>
          <w:szCs w:val="25"/>
          <w:lang w:val="bg-BG"/>
        </w:rPr>
      </w:pPr>
      <w:r>
        <w:rPr>
          <w:rFonts w:ascii="Times New Roman" w:hAnsi="Times New Roman" w:cs="Times New Roman"/>
          <w:sz w:val="25"/>
          <w:szCs w:val="25"/>
          <w:lang w:val="bg-BG"/>
        </w:rPr>
        <w:t>По данни от</w:t>
      </w:r>
      <w:r w:rsidRPr="00386CFE">
        <w:rPr>
          <w:rFonts w:ascii="Times New Roman" w:hAnsi="Times New Roman" w:cs="Times New Roman"/>
          <w:sz w:val="25"/>
          <w:szCs w:val="25"/>
          <w:lang w:val="bg-BG"/>
        </w:rPr>
        <w:t xml:space="preserve"> Доклада на Временната анкетна комисия за енергетика, който прилагаме</w:t>
      </w:r>
      <w:r>
        <w:rPr>
          <w:rFonts w:ascii="Times New Roman" w:hAnsi="Times New Roman" w:cs="Times New Roman"/>
          <w:sz w:val="25"/>
          <w:szCs w:val="25"/>
          <w:lang w:val="bg-BG"/>
        </w:rPr>
        <w:t xml:space="preserve">, през месец юни 2012 г. са въведени в експлоатация 691 броя ВЕИ-централи с обща инсталирана мощност от 487 </w:t>
      </w:r>
      <w:r>
        <w:rPr>
          <w:rFonts w:ascii="Times New Roman" w:hAnsi="Times New Roman" w:cs="Times New Roman"/>
          <w:sz w:val="25"/>
          <w:szCs w:val="25"/>
        </w:rPr>
        <w:t>MW</w:t>
      </w:r>
      <w:r>
        <w:rPr>
          <w:rFonts w:ascii="Times New Roman" w:hAnsi="Times New Roman" w:cs="Times New Roman"/>
          <w:sz w:val="25"/>
          <w:szCs w:val="25"/>
          <w:lang w:val="bg-BG"/>
        </w:rPr>
        <w:t xml:space="preserve">. „Бумът“ на въвеждането в експлоатация е свързан с правните последици от издаването на разрешението за ползване до края на месец юни 2012 г., които имат директно икономическо отражение в правната сфера на ВЕИ-производителите. Съгласно разпоредбите на ЗЕВИ електрическата енергия от ВЕИ се изкупува за целия срок на задължителния дългосрочен договор по преференциалната цена за електрическа енергия, определена с действащото ценово решение на КЕВР към момента на въвеждане в експлоатация по реда на Закона за устройство на територията („ЗУТ“). Към юни 2012 г. все още е действащо Решение № Ц-18 </w:t>
      </w:r>
      <w:r w:rsidRPr="008A6603">
        <w:rPr>
          <w:rFonts w:ascii="Times New Roman" w:hAnsi="Times New Roman" w:cs="Times New Roman"/>
          <w:sz w:val="25"/>
          <w:szCs w:val="25"/>
          <w:lang w:val="bg-BG"/>
        </w:rPr>
        <w:t>от 20.06.2011</w:t>
      </w:r>
      <w:r>
        <w:rPr>
          <w:rFonts w:ascii="Times New Roman" w:hAnsi="Times New Roman" w:cs="Times New Roman"/>
          <w:sz w:val="25"/>
          <w:szCs w:val="25"/>
          <w:lang w:val="bg-BG"/>
        </w:rPr>
        <w:t xml:space="preserve"> </w:t>
      </w:r>
      <w:r w:rsidRPr="008A6603">
        <w:rPr>
          <w:rFonts w:ascii="Times New Roman" w:hAnsi="Times New Roman" w:cs="Times New Roman"/>
          <w:sz w:val="25"/>
          <w:szCs w:val="25"/>
          <w:lang w:val="bg-BG"/>
        </w:rPr>
        <w:t>г.</w:t>
      </w:r>
      <w:r>
        <w:rPr>
          <w:rStyle w:val="FootnoteReference"/>
          <w:rFonts w:ascii="Times New Roman" w:hAnsi="Times New Roman" w:cs="Times New Roman"/>
          <w:sz w:val="25"/>
          <w:szCs w:val="25"/>
          <w:lang w:val="bg-BG"/>
        </w:rPr>
        <w:footnoteReference w:id="5"/>
      </w:r>
      <w:r>
        <w:rPr>
          <w:rFonts w:ascii="Times New Roman" w:hAnsi="Times New Roman" w:cs="Times New Roman"/>
          <w:sz w:val="25"/>
          <w:szCs w:val="25"/>
          <w:lang w:val="bg-BG"/>
        </w:rPr>
        <w:t>, което определя по-високи цени в сравнение със следващото го ценово решение. Поради тази причина за ВЕИ-производителите е възникнал интерес от присъединяване до края на юни месец 2012 г., за да обвържат изкупуването на електрическата енергия с високите преференциални цени. Ценовият ефект в размер на 27 % увеличение е представен в долуизложената таблица:</w:t>
      </w:r>
    </w:p>
    <w:p w:rsidR="007A6BA0" w:rsidRDefault="007A6BA0" w:rsidP="007A6BA0">
      <w:pPr>
        <w:spacing w:after="120"/>
        <w:ind w:firstLine="720"/>
        <w:jc w:val="both"/>
        <w:rPr>
          <w:rFonts w:ascii="Times New Roman" w:hAnsi="Times New Roman" w:cs="Times New Roman"/>
          <w:sz w:val="25"/>
          <w:szCs w:val="25"/>
          <w:lang w:val="bg-BG"/>
        </w:rPr>
      </w:pPr>
    </w:p>
    <w:p w:rsidR="007A6BA0" w:rsidRDefault="007A6BA0" w:rsidP="007A6BA0">
      <w:pPr>
        <w:spacing w:after="120"/>
        <w:jc w:val="both"/>
        <w:rPr>
          <w:rFonts w:ascii="Times New Roman" w:hAnsi="Times New Roman" w:cs="Times New Roman"/>
          <w:sz w:val="25"/>
          <w:szCs w:val="25"/>
          <w:lang w:val="bg-BG"/>
        </w:rPr>
      </w:pPr>
      <w:r w:rsidRPr="00B136CF">
        <w:rPr>
          <w:noProof/>
          <w:lang w:val="bg-BG" w:eastAsia="bg-BG"/>
        </w:rPr>
        <w:drawing>
          <wp:inline distT="0" distB="0" distL="0" distR="0" wp14:anchorId="5902E27F" wp14:editId="5EB7F4EE">
            <wp:extent cx="5972810" cy="2095500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BA0" w:rsidRDefault="007A6BA0" w:rsidP="007A6BA0">
      <w:pPr>
        <w:spacing w:after="120"/>
        <w:jc w:val="both"/>
        <w:rPr>
          <w:rFonts w:ascii="Times New Roman" w:hAnsi="Times New Roman" w:cs="Times New Roman"/>
          <w:sz w:val="25"/>
          <w:szCs w:val="25"/>
          <w:lang w:val="bg-BG"/>
        </w:rPr>
      </w:pPr>
    </w:p>
    <w:p w:rsidR="007A6BA0" w:rsidRDefault="007A6BA0" w:rsidP="007A6BA0">
      <w:pPr>
        <w:spacing w:after="120"/>
        <w:ind w:firstLine="720"/>
        <w:jc w:val="both"/>
        <w:rPr>
          <w:rFonts w:ascii="Times New Roman" w:hAnsi="Times New Roman" w:cs="Times New Roman"/>
          <w:sz w:val="25"/>
          <w:szCs w:val="25"/>
          <w:lang w:val="bg-BG"/>
        </w:rPr>
      </w:pPr>
      <w:r>
        <w:rPr>
          <w:rFonts w:ascii="Times New Roman" w:hAnsi="Times New Roman" w:cs="Times New Roman"/>
          <w:sz w:val="25"/>
          <w:szCs w:val="25"/>
          <w:lang w:val="bg-BG"/>
        </w:rPr>
        <w:t xml:space="preserve">В </w:t>
      </w:r>
      <w:r w:rsidRPr="008A6603">
        <w:rPr>
          <w:rFonts w:ascii="Times New Roman" w:hAnsi="Times New Roman" w:cs="Times New Roman"/>
          <w:sz w:val="25"/>
          <w:szCs w:val="25"/>
          <w:lang w:val="bg-BG"/>
        </w:rPr>
        <w:t>Доклада на Временната анкетна комисия за енергетика</w:t>
      </w:r>
      <w:r>
        <w:rPr>
          <w:rFonts w:ascii="Times New Roman" w:hAnsi="Times New Roman" w:cs="Times New Roman"/>
          <w:sz w:val="25"/>
          <w:szCs w:val="25"/>
          <w:lang w:val="bg-BG"/>
        </w:rPr>
        <w:t xml:space="preserve"> се изнасят множество данни за </w:t>
      </w:r>
      <w:r w:rsidRPr="002D1B3B">
        <w:rPr>
          <w:rFonts w:ascii="Times New Roman" w:hAnsi="Times New Roman" w:cs="Times New Roman"/>
          <w:b/>
          <w:sz w:val="25"/>
          <w:szCs w:val="25"/>
          <w:lang w:val="bg-BG"/>
        </w:rPr>
        <w:t>разминаване на документите в ДНСК относно издадените разрешения за ползване и тези, представени пред ЕРП-тата (относно номер на разрешението, дата на издаване, размер на въведената в експлоатация мощност)</w:t>
      </w:r>
      <w:r>
        <w:rPr>
          <w:rFonts w:ascii="Times New Roman" w:hAnsi="Times New Roman" w:cs="Times New Roman"/>
          <w:sz w:val="25"/>
          <w:szCs w:val="25"/>
          <w:lang w:val="bg-BG"/>
        </w:rPr>
        <w:t xml:space="preserve"> – това е  индиция за извършени документни престъпления. </w:t>
      </w:r>
      <w:r w:rsidRPr="002D1B3B">
        <w:rPr>
          <w:rFonts w:ascii="Times New Roman" w:hAnsi="Times New Roman" w:cs="Times New Roman"/>
          <w:b/>
          <w:sz w:val="25"/>
          <w:szCs w:val="25"/>
          <w:lang w:val="bg-BG"/>
        </w:rPr>
        <w:t>Нещо повече, изнасят се данни за флагратни нарушения, при които са издавани разрешения за ползване при липса на изграден енергиен обект, тоест налице е нищожността на разрешението за ползване като административен акт, издаден не само при пълна липса на предпоставките на ЗУТ, а издаден при заобикаляна на закона и с цел, противоречаща на закона.</w:t>
      </w:r>
      <w:r>
        <w:rPr>
          <w:rFonts w:ascii="Times New Roman" w:hAnsi="Times New Roman" w:cs="Times New Roman"/>
          <w:sz w:val="25"/>
          <w:szCs w:val="25"/>
          <w:lang w:val="bg-BG"/>
        </w:rPr>
        <w:t xml:space="preserve"> Данните са свързани с обстоятелството, че ВЕИ-централи, за които има издадено разрешение за експлоатация са започнали производство над 6 (шест) месеца след датата на разрешението. Тоест датата на започване на производството е действителната дата, на която е бил изграден енергийния обект. </w:t>
      </w:r>
    </w:p>
    <w:p w:rsidR="007A6BA0" w:rsidRDefault="007A6BA0" w:rsidP="007A6BA0">
      <w:pPr>
        <w:spacing w:after="120"/>
        <w:ind w:firstLine="720"/>
        <w:jc w:val="both"/>
        <w:rPr>
          <w:rFonts w:ascii="Times New Roman" w:hAnsi="Times New Roman" w:cs="Times New Roman"/>
          <w:b/>
          <w:sz w:val="25"/>
          <w:szCs w:val="25"/>
          <w:lang w:val="bg-BG"/>
        </w:rPr>
      </w:pPr>
      <w:r w:rsidRPr="002D1B3B">
        <w:rPr>
          <w:rFonts w:ascii="Times New Roman" w:hAnsi="Times New Roman" w:cs="Times New Roman"/>
          <w:b/>
          <w:sz w:val="25"/>
          <w:szCs w:val="25"/>
          <w:lang w:val="bg-BG"/>
        </w:rPr>
        <w:t xml:space="preserve">С оглед гореизложеното сме сезирали Главния прокурор, в рамките на чиито правомощия е да установи дали има съществени нарушения на изискванията за законосъобразност, евентуално установяване на престъпни деяния или на подправени документи при издаване на разрешенията за ползване на ВЕИ-централи, издадени през юни 2012 г. В случай, че се установят тези обстоятелства, </w:t>
      </w:r>
      <w:r>
        <w:rPr>
          <w:rFonts w:ascii="Times New Roman" w:hAnsi="Times New Roman" w:cs="Times New Roman"/>
          <w:b/>
          <w:sz w:val="25"/>
          <w:szCs w:val="25"/>
          <w:lang w:val="bg-BG"/>
        </w:rPr>
        <w:t>разрешенията</w:t>
      </w:r>
      <w:r w:rsidRPr="002D1B3B">
        <w:rPr>
          <w:rFonts w:ascii="Times New Roman" w:hAnsi="Times New Roman" w:cs="Times New Roman"/>
          <w:b/>
          <w:sz w:val="25"/>
          <w:szCs w:val="25"/>
          <w:lang w:val="bg-BG"/>
        </w:rPr>
        <w:t xml:space="preserve"> за ползване на централи с обща инсталирана мощност от 487 MW могат да бъдат обявени за нищожни административни актове</w:t>
      </w:r>
      <w:r>
        <w:rPr>
          <w:rFonts w:ascii="Times New Roman" w:hAnsi="Times New Roman" w:cs="Times New Roman"/>
          <w:b/>
          <w:sz w:val="25"/>
          <w:szCs w:val="25"/>
          <w:lang w:val="bg-BG"/>
        </w:rPr>
        <w:t xml:space="preserve">, </w:t>
      </w:r>
      <w:r w:rsidRPr="002D1B3B">
        <w:rPr>
          <w:rFonts w:ascii="Times New Roman" w:hAnsi="Times New Roman" w:cs="Times New Roman"/>
          <w:b/>
          <w:sz w:val="25"/>
          <w:szCs w:val="25"/>
          <w:lang w:val="bg-BG"/>
        </w:rPr>
        <w:t xml:space="preserve">въз основа на които не могат да се прилагат преференциалните цени по </w:t>
      </w:r>
      <w:r>
        <w:rPr>
          <w:rFonts w:ascii="Times New Roman" w:hAnsi="Times New Roman" w:cs="Times New Roman"/>
          <w:b/>
          <w:sz w:val="25"/>
          <w:szCs w:val="25"/>
          <w:lang w:val="bg-BG"/>
        </w:rPr>
        <w:t>Решение № Ц-18 от 20.06.2011 г.</w:t>
      </w:r>
    </w:p>
    <w:p w:rsidR="007A6BA0" w:rsidRPr="002D1B3B" w:rsidRDefault="007A6BA0" w:rsidP="007A6BA0">
      <w:pPr>
        <w:spacing w:after="120"/>
        <w:ind w:firstLine="720"/>
        <w:jc w:val="both"/>
        <w:rPr>
          <w:rFonts w:ascii="Times New Roman" w:hAnsi="Times New Roman" w:cs="Times New Roman"/>
          <w:b/>
          <w:sz w:val="25"/>
          <w:szCs w:val="25"/>
          <w:lang w:val="bg-BG"/>
        </w:rPr>
      </w:pPr>
      <w:r w:rsidRPr="002D1B3B">
        <w:rPr>
          <w:rFonts w:ascii="Times New Roman" w:hAnsi="Times New Roman" w:cs="Times New Roman"/>
          <w:b/>
          <w:sz w:val="25"/>
          <w:szCs w:val="25"/>
          <w:lang w:val="bg-BG"/>
        </w:rPr>
        <w:t xml:space="preserve">Следователно ако компетентните държавни институции извършат надлежна проверка и контрол върху множеството </w:t>
      </w:r>
      <w:r>
        <w:rPr>
          <w:rFonts w:ascii="Times New Roman" w:hAnsi="Times New Roman" w:cs="Times New Roman"/>
          <w:b/>
          <w:sz w:val="25"/>
          <w:szCs w:val="25"/>
          <w:lang w:val="bg-BG"/>
        </w:rPr>
        <w:t>законо</w:t>
      </w:r>
      <w:r w:rsidRPr="002D1B3B">
        <w:rPr>
          <w:rFonts w:ascii="Times New Roman" w:hAnsi="Times New Roman" w:cs="Times New Roman"/>
          <w:b/>
          <w:sz w:val="25"/>
          <w:szCs w:val="25"/>
          <w:lang w:val="bg-BG"/>
        </w:rPr>
        <w:t xml:space="preserve">нарушения, извършени във ВЕИ-сектора и бъдат приложени </w:t>
      </w:r>
      <w:r>
        <w:rPr>
          <w:rFonts w:ascii="Times New Roman" w:hAnsi="Times New Roman" w:cs="Times New Roman"/>
          <w:b/>
          <w:sz w:val="25"/>
          <w:szCs w:val="25"/>
          <w:lang w:val="bg-BG"/>
        </w:rPr>
        <w:t>дължимите законови</w:t>
      </w:r>
      <w:r w:rsidRPr="002D1B3B">
        <w:rPr>
          <w:rFonts w:ascii="Times New Roman" w:hAnsi="Times New Roman" w:cs="Times New Roman"/>
          <w:b/>
          <w:sz w:val="25"/>
          <w:szCs w:val="25"/>
          <w:lang w:val="bg-BG"/>
        </w:rPr>
        <w:t xml:space="preserve"> мерки, възможните последици са именно </w:t>
      </w:r>
      <w:r>
        <w:rPr>
          <w:rFonts w:ascii="Times New Roman" w:hAnsi="Times New Roman" w:cs="Times New Roman"/>
          <w:b/>
          <w:sz w:val="25"/>
          <w:szCs w:val="25"/>
          <w:lang w:val="bg-BG"/>
        </w:rPr>
        <w:t xml:space="preserve">по </w:t>
      </w:r>
      <w:r w:rsidRPr="002D1B3B">
        <w:rPr>
          <w:rFonts w:ascii="Times New Roman" w:hAnsi="Times New Roman" w:cs="Times New Roman"/>
          <w:b/>
          <w:sz w:val="25"/>
          <w:szCs w:val="25"/>
          <w:lang w:val="bg-BG"/>
        </w:rPr>
        <w:t xml:space="preserve">намаляване на цените на крайните потребители чрез намаляване на финансовата тежест </w:t>
      </w:r>
      <w:r>
        <w:rPr>
          <w:rFonts w:ascii="Times New Roman" w:hAnsi="Times New Roman" w:cs="Times New Roman"/>
          <w:b/>
          <w:sz w:val="25"/>
          <w:szCs w:val="25"/>
          <w:lang w:val="bg-BG"/>
        </w:rPr>
        <w:t xml:space="preserve">на </w:t>
      </w:r>
      <w:r w:rsidRPr="002D1B3B">
        <w:rPr>
          <w:rFonts w:ascii="Times New Roman" w:hAnsi="Times New Roman" w:cs="Times New Roman"/>
          <w:b/>
          <w:sz w:val="25"/>
          <w:szCs w:val="25"/>
          <w:lang w:val="bg-BG"/>
        </w:rPr>
        <w:t>ценовия компонент „задължения към обществото“ с до 27</w:t>
      </w:r>
      <w:r>
        <w:rPr>
          <w:rFonts w:ascii="Times New Roman" w:hAnsi="Times New Roman" w:cs="Times New Roman"/>
          <w:b/>
          <w:sz w:val="25"/>
          <w:szCs w:val="25"/>
          <w:lang w:val="bg-BG"/>
        </w:rPr>
        <w:t xml:space="preserve"> %, както е изложено в таблицата по-горе. </w:t>
      </w:r>
      <w:r w:rsidRPr="002D1B3B">
        <w:rPr>
          <w:rFonts w:ascii="Times New Roman" w:hAnsi="Times New Roman" w:cs="Times New Roman"/>
          <w:b/>
          <w:sz w:val="25"/>
          <w:szCs w:val="25"/>
          <w:lang w:val="bg-BG"/>
        </w:rPr>
        <w:t xml:space="preserve"> </w:t>
      </w:r>
    </w:p>
    <w:p w:rsidR="007A6BA0" w:rsidRPr="002D1B3B" w:rsidRDefault="007A6BA0" w:rsidP="007A6BA0">
      <w:pPr>
        <w:spacing w:after="120"/>
        <w:jc w:val="both"/>
        <w:rPr>
          <w:rFonts w:ascii="Times New Roman" w:hAnsi="Times New Roman" w:cs="Times New Roman"/>
          <w:sz w:val="25"/>
          <w:szCs w:val="25"/>
          <w:lang w:val="bg-BG"/>
        </w:rPr>
      </w:pPr>
    </w:p>
    <w:p w:rsidR="007A6BA0" w:rsidRPr="00F33616" w:rsidRDefault="007A6BA0">
      <w:pPr>
        <w:rPr>
          <w:lang w:val="ru-RU"/>
        </w:rPr>
      </w:pPr>
    </w:p>
    <w:p w:rsidR="007A6BA0" w:rsidRPr="00F33616" w:rsidRDefault="007A6BA0">
      <w:pPr>
        <w:rPr>
          <w:lang w:val="ru-RU"/>
        </w:rPr>
      </w:pPr>
    </w:p>
    <w:p w:rsidR="007A6BA0" w:rsidRPr="00930D05" w:rsidRDefault="007A6BA0" w:rsidP="007A6BA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5"/>
          <w:szCs w:val="25"/>
        </w:rPr>
      </w:pPr>
      <w:r w:rsidRPr="00930D05">
        <w:rPr>
          <w:rFonts w:ascii="Times New Roman" w:hAnsi="Times New Roman" w:cs="Times New Roman"/>
          <w:b/>
          <w:sz w:val="25"/>
          <w:szCs w:val="25"/>
        </w:rPr>
        <w:t>ДОКУМЕНТИ, ОТНОСИМИ КЪМ ВЕИ</w:t>
      </w:r>
      <w:r>
        <w:rPr>
          <w:rFonts w:ascii="Times New Roman" w:hAnsi="Times New Roman" w:cs="Times New Roman"/>
          <w:b/>
          <w:sz w:val="25"/>
          <w:szCs w:val="25"/>
        </w:rPr>
        <w:t xml:space="preserve"> СЕКТОРА</w:t>
      </w:r>
      <w:r w:rsidRPr="00DD31EF">
        <w:rPr>
          <w:rFonts w:ascii="Times New Roman" w:hAnsi="Times New Roman" w:cs="Times New Roman"/>
          <w:b/>
          <w:sz w:val="25"/>
          <w:szCs w:val="25"/>
        </w:rPr>
        <w:t>:</w:t>
      </w:r>
    </w:p>
    <w:p w:rsidR="007A6BA0" w:rsidRPr="00930D05" w:rsidRDefault="007A6BA0" w:rsidP="007A6BA0">
      <w:pPr>
        <w:pStyle w:val="ListParagraph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Втори национален доклад за напредъка на България в насърчаването и използването на енергията от възобновяемите енергийни източници; </w:t>
      </w:r>
    </w:p>
    <w:p w:rsidR="007A6BA0" w:rsidRDefault="007A6BA0" w:rsidP="007A6BA0">
      <w:pPr>
        <w:pStyle w:val="ListParagraph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Доклад  на Временната анкетна комисия за проверка и оценка на състоянието на енергетиката в Република България за периода 19.02.2015 г. – 31.07.2015 г., качен на официланата интернет страница на Народното събрание </w:t>
      </w:r>
    </w:p>
    <w:p w:rsidR="007A6BA0" w:rsidRDefault="00F33616" w:rsidP="007A6BA0">
      <w:pPr>
        <w:pStyle w:val="ListParagraph"/>
        <w:spacing w:after="120"/>
        <w:jc w:val="both"/>
        <w:rPr>
          <w:rFonts w:ascii="Times New Roman" w:hAnsi="Times New Roman" w:cs="Times New Roman"/>
          <w:sz w:val="25"/>
          <w:szCs w:val="25"/>
        </w:rPr>
      </w:pPr>
      <w:hyperlink r:id="rId8" w:history="1">
        <w:r w:rsidR="007A6BA0">
          <w:rPr>
            <w:rStyle w:val="Hyperlink"/>
            <w:rFonts w:ascii="Times New Roman" w:hAnsi="Times New Roman" w:cs="Times New Roman"/>
            <w:sz w:val="25"/>
            <w:szCs w:val="25"/>
          </w:rPr>
          <w:t>http://www.parliament.bg/bg/parliamentarycommittees/members/2396/documents</w:t>
        </w:r>
      </w:hyperlink>
      <w:r w:rsidR="007A6BA0">
        <w:rPr>
          <w:rFonts w:ascii="Times New Roman" w:hAnsi="Times New Roman" w:cs="Times New Roman"/>
          <w:sz w:val="25"/>
          <w:szCs w:val="25"/>
        </w:rPr>
        <w:t xml:space="preserve"> </w:t>
      </w:r>
    </w:p>
    <w:p w:rsidR="007A6BA0" w:rsidRDefault="007A6BA0" w:rsidP="007A6BA0">
      <w:pPr>
        <w:pStyle w:val="ListParagraph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Публикация „ДКЕВР инициира проверки във ВЕИ сектора“</w:t>
      </w:r>
    </w:p>
    <w:p w:rsidR="007A6BA0" w:rsidRDefault="00F33616" w:rsidP="007A6BA0">
      <w:pPr>
        <w:pStyle w:val="ListParagraph"/>
        <w:spacing w:after="120"/>
        <w:jc w:val="both"/>
        <w:rPr>
          <w:rFonts w:ascii="Times New Roman" w:hAnsi="Times New Roman" w:cs="Times New Roman"/>
          <w:sz w:val="25"/>
          <w:szCs w:val="25"/>
        </w:rPr>
      </w:pPr>
      <w:hyperlink r:id="rId9" w:history="1">
        <w:r w:rsidR="007A6BA0">
          <w:rPr>
            <w:rStyle w:val="Hyperlink"/>
            <w:rFonts w:ascii="Times New Roman" w:hAnsi="Times New Roman" w:cs="Times New Roman"/>
            <w:sz w:val="25"/>
            <w:szCs w:val="25"/>
          </w:rPr>
          <w:t>http://business.actualno.com/DKEVR-iniciira-proverki-vyv-VEI-sektora-news_45203.html</w:t>
        </w:r>
      </w:hyperlink>
      <w:r w:rsidR="007A6BA0">
        <w:rPr>
          <w:rFonts w:ascii="Times New Roman" w:hAnsi="Times New Roman" w:cs="Times New Roman"/>
          <w:sz w:val="25"/>
          <w:szCs w:val="25"/>
        </w:rPr>
        <w:t xml:space="preserve"> </w:t>
      </w:r>
    </w:p>
    <w:p w:rsidR="007A6BA0" w:rsidRDefault="007A6BA0" w:rsidP="007A6BA0">
      <w:pPr>
        <w:pStyle w:val="ListParagraph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Публикация „За 15 фотоволтаици към ЕВН слънцето грее над 24 часа в денонощие“</w:t>
      </w:r>
    </w:p>
    <w:p w:rsidR="007A6BA0" w:rsidRDefault="00F33616" w:rsidP="007A6BA0">
      <w:pPr>
        <w:pStyle w:val="ListParagraph"/>
        <w:spacing w:after="120"/>
        <w:jc w:val="both"/>
        <w:rPr>
          <w:rFonts w:ascii="Times New Roman" w:hAnsi="Times New Roman" w:cs="Times New Roman"/>
          <w:sz w:val="25"/>
          <w:szCs w:val="25"/>
        </w:rPr>
      </w:pPr>
      <w:hyperlink r:id="rId10" w:history="1">
        <w:r w:rsidR="007A6BA0">
          <w:rPr>
            <w:rStyle w:val="Hyperlink"/>
            <w:rFonts w:ascii="Times New Roman" w:hAnsi="Times New Roman" w:cs="Times New Roman"/>
            <w:sz w:val="25"/>
            <w:szCs w:val="25"/>
          </w:rPr>
          <w:t>http://bgrabotodateli.org/?p=1126</w:t>
        </w:r>
      </w:hyperlink>
      <w:r w:rsidR="007A6BA0">
        <w:rPr>
          <w:rFonts w:ascii="Times New Roman" w:hAnsi="Times New Roman" w:cs="Times New Roman"/>
          <w:sz w:val="25"/>
          <w:szCs w:val="25"/>
        </w:rPr>
        <w:t xml:space="preserve"> </w:t>
      </w:r>
    </w:p>
    <w:p w:rsidR="007A6BA0" w:rsidRDefault="007A6BA0" w:rsidP="007A6BA0">
      <w:pPr>
        <w:pStyle w:val="ListParagraph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Публикация „Източват НЕК и нощем“</w:t>
      </w:r>
    </w:p>
    <w:p w:rsidR="007A6BA0" w:rsidRDefault="00F33616" w:rsidP="007A6BA0">
      <w:pPr>
        <w:pStyle w:val="ListParagraph"/>
        <w:spacing w:after="120"/>
        <w:jc w:val="both"/>
        <w:rPr>
          <w:rFonts w:ascii="Times New Roman" w:hAnsi="Times New Roman" w:cs="Times New Roman"/>
          <w:sz w:val="25"/>
          <w:szCs w:val="25"/>
        </w:rPr>
      </w:pPr>
      <w:hyperlink r:id="rId11" w:history="1">
        <w:r w:rsidR="007A6BA0">
          <w:rPr>
            <w:rStyle w:val="Hyperlink"/>
            <w:rFonts w:ascii="Times New Roman" w:hAnsi="Times New Roman" w:cs="Times New Roman"/>
            <w:sz w:val="25"/>
            <w:szCs w:val="25"/>
          </w:rPr>
          <w:t>http://starozagorskinovini.com/news/index.php/mainnews/energy/5127-iztochvat-nek-i-noshtem</w:t>
        </w:r>
      </w:hyperlink>
      <w:r w:rsidR="007A6BA0">
        <w:rPr>
          <w:rFonts w:ascii="Times New Roman" w:hAnsi="Times New Roman" w:cs="Times New Roman"/>
          <w:sz w:val="25"/>
          <w:szCs w:val="25"/>
        </w:rPr>
        <w:t xml:space="preserve"> </w:t>
      </w:r>
    </w:p>
    <w:p w:rsidR="007A6BA0" w:rsidRDefault="007A6BA0" w:rsidP="007A6BA0">
      <w:pPr>
        <w:pStyle w:val="ListParagraph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Публикация „Скандално! Соларни наглеци и системи“</w:t>
      </w:r>
    </w:p>
    <w:p w:rsidR="007A6BA0" w:rsidRDefault="00F33616" w:rsidP="007A6BA0">
      <w:pPr>
        <w:pStyle w:val="ListParagraph"/>
        <w:spacing w:after="120"/>
        <w:jc w:val="both"/>
        <w:rPr>
          <w:rFonts w:ascii="Times New Roman" w:hAnsi="Times New Roman" w:cs="Times New Roman"/>
          <w:sz w:val="25"/>
          <w:szCs w:val="25"/>
        </w:rPr>
      </w:pPr>
      <w:hyperlink r:id="rId12" w:history="1">
        <w:r w:rsidR="007A6BA0">
          <w:rPr>
            <w:rStyle w:val="Hyperlink"/>
            <w:rFonts w:ascii="Times New Roman" w:hAnsi="Times New Roman" w:cs="Times New Roman"/>
            <w:sz w:val="25"/>
            <w:szCs w:val="25"/>
          </w:rPr>
          <w:t>http://bgrabotodateli.org/?p=1199</w:t>
        </w:r>
      </w:hyperlink>
      <w:r w:rsidR="007A6BA0">
        <w:rPr>
          <w:rFonts w:ascii="Times New Roman" w:hAnsi="Times New Roman" w:cs="Times New Roman"/>
          <w:sz w:val="25"/>
          <w:szCs w:val="25"/>
        </w:rPr>
        <w:t xml:space="preserve"> </w:t>
      </w:r>
    </w:p>
    <w:p w:rsidR="007A6BA0" w:rsidRDefault="007A6BA0" w:rsidP="007A6BA0">
      <w:pPr>
        <w:pStyle w:val="ListParagraph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Публикация „Хронология на узаконяването на грабежа от фотоволтаични централи“</w:t>
      </w:r>
    </w:p>
    <w:p w:rsidR="007A6BA0" w:rsidRDefault="00F33616" w:rsidP="007A6BA0">
      <w:pPr>
        <w:pStyle w:val="ListParagraph"/>
        <w:spacing w:after="120"/>
        <w:jc w:val="both"/>
        <w:rPr>
          <w:rFonts w:ascii="Times New Roman" w:hAnsi="Times New Roman" w:cs="Times New Roman"/>
          <w:sz w:val="25"/>
          <w:szCs w:val="25"/>
        </w:rPr>
      </w:pPr>
      <w:hyperlink r:id="rId13" w:history="1">
        <w:r w:rsidR="007A6BA0">
          <w:rPr>
            <w:rStyle w:val="Hyperlink"/>
            <w:rFonts w:ascii="Times New Roman" w:hAnsi="Times New Roman" w:cs="Times New Roman"/>
            <w:sz w:val="25"/>
            <w:szCs w:val="25"/>
          </w:rPr>
          <w:t>http://bgrabotodateli.org/wp-content/uploads/2015/07/PV_letter-270715.pdf</w:t>
        </w:r>
      </w:hyperlink>
      <w:r w:rsidR="007A6BA0">
        <w:rPr>
          <w:rFonts w:ascii="Times New Roman" w:hAnsi="Times New Roman" w:cs="Times New Roman"/>
          <w:sz w:val="25"/>
          <w:szCs w:val="25"/>
        </w:rPr>
        <w:t xml:space="preserve"> </w:t>
      </w:r>
    </w:p>
    <w:p w:rsidR="007A6BA0" w:rsidRDefault="007A6BA0" w:rsidP="007A6BA0">
      <w:pPr>
        <w:pStyle w:val="ListParagraph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Разпечатка от Регистър „Лицензии“ на КЕВР - № 224-240;</w:t>
      </w:r>
    </w:p>
    <w:p w:rsidR="007A6BA0" w:rsidRPr="00F33616" w:rsidRDefault="007A6BA0">
      <w:pPr>
        <w:rPr>
          <w:lang w:val="ru-RU"/>
        </w:rPr>
      </w:pPr>
    </w:p>
    <w:p w:rsidR="007A6BA0" w:rsidRPr="00F33616" w:rsidRDefault="007A6BA0">
      <w:pPr>
        <w:rPr>
          <w:lang w:val="ru-RU"/>
        </w:rPr>
      </w:pPr>
    </w:p>
    <w:sectPr w:rsidR="007A6BA0" w:rsidRPr="00F33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8B3" w:rsidRDefault="008678B3" w:rsidP="007A6BA0">
      <w:pPr>
        <w:spacing w:after="0" w:line="240" w:lineRule="auto"/>
      </w:pPr>
      <w:r>
        <w:separator/>
      </w:r>
    </w:p>
  </w:endnote>
  <w:endnote w:type="continuationSeparator" w:id="0">
    <w:p w:rsidR="008678B3" w:rsidRDefault="008678B3" w:rsidP="007A6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8B3" w:rsidRDefault="008678B3" w:rsidP="007A6BA0">
      <w:pPr>
        <w:spacing w:after="0" w:line="240" w:lineRule="auto"/>
      </w:pPr>
      <w:r>
        <w:separator/>
      </w:r>
    </w:p>
  </w:footnote>
  <w:footnote w:type="continuationSeparator" w:id="0">
    <w:p w:rsidR="008678B3" w:rsidRDefault="008678B3" w:rsidP="007A6BA0">
      <w:pPr>
        <w:spacing w:after="0" w:line="240" w:lineRule="auto"/>
      </w:pPr>
      <w:r>
        <w:continuationSeparator/>
      </w:r>
    </w:p>
  </w:footnote>
  <w:footnote w:id="1">
    <w:p w:rsidR="007A6BA0" w:rsidRPr="00A305EC" w:rsidRDefault="007A6BA0" w:rsidP="007A6BA0">
      <w:pPr>
        <w:pStyle w:val="FootnoteText"/>
        <w:rPr>
          <w:rFonts w:ascii="Times New Roman" w:hAnsi="Times New Roman" w:cs="Times New Roman"/>
        </w:rPr>
      </w:pPr>
      <w:r w:rsidRPr="00A305EC">
        <w:rPr>
          <w:rStyle w:val="FootnoteReference"/>
          <w:rFonts w:ascii="Times New Roman" w:hAnsi="Times New Roman" w:cs="Times New Roman"/>
        </w:rPr>
        <w:footnoteRef/>
      </w:r>
      <w:r w:rsidRPr="00A305EC">
        <w:rPr>
          <w:rFonts w:ascii="Times New Roman" w:hAnsi="Times New Roman" w:cs="Times New Roman"/>
        </w:rPr>
        <w:t xml:space="preserve"> Приложения №</w:t>
      </w:r>
      <w:r>
        <w:rPr>
          <w:rFonts w:ascii="Times New Roman" w:hAnsi="Times New Roman" w:cs="Times New Roman"/>
        </w:rPr>
        <w:t xml:space="preserve"> 61</w:t>
      </w:r>
    </w:p>
  </w:footnote>
  <w:footnote w:id="2">
    <w:p w:rsidR="007A6BA0" w:rsidRPr="00A305EC" w:rsidRDefault="007A6BA0" w:rsidP="007A6BA0">
      <w:pPr>
        <w:pStyle w:val="FootnoteText"/>
        <w:rPr>
          <w:rFonts w:ascii="Times New Roman" w:hAnsi="Times New Roman" w:cs="Times New Roman"/>
        </w:rPr>
      </w:pPr>
      <w:r w:rsidRPr="00A305EC">
        <w:rPr>
          <w:rStyle w:val="FootnoteReference"/>
          <w:rFonts w:ascii="Times New Roman" w:hAnsi="Times New Roman" w:cs="Times New Roman"/>
        </w:rPr>
        <w:footnoteRef/>
      </w:r>
      <w:r w:rsidRPr="00A305EC">
        <w:rPr>
          <w:rFonts w:ascii="Times New Roman" w:hAnsi="Times New Roman" w:cs="Times New Roman"/>
        </w:rPr>
        <w:t xml:space="preserve"> Приложение № </w:t>
      </w:r>
      <w:r>
        <w:rPr>
          <w:rFonts w:ascii="Times New Roman" w:hAnsi="Times New Roman" w:cs="Times New Roman"/>
        </w:rPr>
        <w:t>60</w:t>
      </w:r>
    </w:p>
  </w:footnote>
  <w:footnote w:id="3">
    <w:p w:rsidR="007A6BA0" w:rsidRPr="00A90827" w:rsidRDefault="007A6BA0" w:rsidP="007A6BA0">
      <w:pPr>
        <w:pStyle w:val="FootnoteText"/>
        <w:rPr>
          <w:rFonts w:ascii="Times New Roman" w:hAnsi="Times New Roman" w:cs="Times New Roman"/>
        </w:rPr>
      </w:pPr>
      <w:r w:rsidRPr="00A90827">
        <w:rPr>
          <w:rStyle w:val="FootnoteReference"/>
          <w:rFonts w:ascii="Times New Roman" w:hAnsi="Times New Roman" w:cs="Times New Roman"/>
        </w:rPr>
        <w:footnoteRef/>
      </w:r>
      <w:r w:rsidRPr="00A90827">
        <w:rPr>
          <w:rFonts w:ascii="Times New Roman" w:hAnsi="Times New Roman" w:cs="Times New Roman"/>
        </w:rPr>
        <w:t xml:space="preserve"> Приложение № </w:t>
      </w:r>
      <w:r>
        <w:rPr>
          <w:rFonts w:ascii="Times New Roman" w:hAnsi="Times New Roman" w:cs="Times New Roman"/>
        </w:rPr>
        <w:t>66</w:t>
      </w:r>
    </w:p>
  </w:footnote>
  <w:footnote w:id="4">
    <w:p w:rsidR="007A6BA0" w:rsidRPr="00BA3733" w:rsidRDefault="007A6BA0" w:rsidP="007A6BA0">
      <w:pPr>
        <w:pStyle w:val="FootnoteText"/>
        <w:rPr>
          <w:rFonts w:ascii="Times New Roman" w:hAnsi="Times New Roman" w:cs="Times New Roman"/>
        </w:rPr>
      </w:pPr>
      <w:r w:rsidRPr="00BA3733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Приложения</w:t>
      </w:r>
      <w:r w:rsidRPr="00BA3733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62 и № 63</w:t>
      </w:r>
    </w:p>
  </w:footnote>
  <w:footnote w:id="5">
    <w:p w:rsidR="007A6BA0" w:rsidRPr="005B0EB2" w:rsidRDefault="007A6BA0" w:rsidP="007A6BA0">
      <w:pPr>
        <w:pStyle w:val="FootnoteText"/>
        <w:rPr>
          <w:rFonts w:ascii="Times New Roman" w:hAnsi="Times New Roman" w:cs="Times New Roman"/>
        </w:rPr>
      </w:pPr>
      <w:r w:rsidRPr="005B0EB2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Приложение № 67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221D6"/>
    <w:multiLevelType w:val="hybridMultilevel"/>
    <w:tmpl w:val="BF26B46C"/>
    <w:lvl w:ilvl="0" w:tplc="258A88B6">
      <w:start w:val="5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469CE"/>
    <w:multiLevelType w:val="hybridMultilevel"/>
    <w:tmpl w:val="96D2A300"/>
    <w:lvl w:ilvl="0" w:tplc="C4520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B71F6"/>
    <w:multiLevelType w:val="hybridMultilevel"/>
    <w:tmpl w:val="53E6308C"/>
    <w:lvl w:ilvl="0" w:tplc="F8D4A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B2B83"/>
    <w:multiLevelType w:val="hybridMultilevel"/>
    <w:tmpl w:val="46766E2A"/>
    <w:lvl w:ilvl="0" w:tplc="A6209082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A0"/>
    <w:rsid w:val="007A6BA0"/>
    <w:rsid w:val="008678B3"/>
    <w:rsid w:val="00C85104"/>
    <w:rsid w:val="00DA41BB"/>
    <w:rsid w:val="00F3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31643-4725-41C4-B0B7-6EC447B0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BA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BA0"/>
    <w:pPr>
      <w:ind w:left="720"/>
      <w:contextualSpacing/>
    </w:pPr>
    <w:rPr>
      <w:lang w:val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6BA0"/>
    <w:pPr>
      <w:spacing w:after="0" w:line="240" w:lineRule="auto"/>
    </w:pPr>
    <w:rPr>
      <w:sz w:val="20"/>
      <w:szCs w:val="20"/>
      <w:lang w:val="bg-B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6B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A6BA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A6BA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61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liament.bg/bg/parliamentarycommittees/members/2396/documents" TargetMode="External"/><Relationship Id="rId13" Type="http://schemas.openxmlformats.org/officeDocument/2006/relationships/hyperlink" Target="http://bgrabotodateli.org/wp-content/uploads/2015/07/PV_letter-270715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bgrabotodateli.org/?p=11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arozagorskinovini.com/news/index.php/mainnews/energy/5127-iztochvat-nek-i-noshte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bgrabotodateli.org/?p=11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usiness.actualno.com/DKEVR-iniciira-proverki-vyv-VEI-sektora-news_45203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2746</Words>
  <Characters>15657</Characters>
  <Application>Microsoft Office Word</Application>
  <DocSecurity>4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Rumen Radev</dc:creator>
  <cp:keywords/>
  <dc:description/>
  <cp:lastModifiedBy>Secretary</cp:lastModifiedBy>
  <cp:revision>2</cp:revision>
  <cp:lastPrinted>2016-11-17T13:22:00Z</cp:lastPrinted>
  <dcterms:created xsi:type="dcterms:W3CDTF">2016-11-17T13:26:00Z</dcterms:created>
  <dcterms:modified xsi:type="dcterms:W3CDTF">2016-11-17T13:26:00Z</dcterms:modified>
</cp:coreProperties>
</file>