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6793" w:rsidRDefault="0078661F">
      <w:pPr>
        <w:tabs>
          <w:tab w:val="center" w:pos="4703"/>
          <w:tab w:val="right" w:pos="9406"/>
        </w:tabs>
        <w:jc w:val="center"/>
      </w:pPr>
      <w:r>
        <w:rPr>
          <w:b/>
          <w:smallCaps/>
          <w:sz w:val="28"/>
          <w:szCs w:val="28"/>
        </w:rPr>
        <w:t>ГРАЖДАНСКА ИНИЦИАТИВА „ИСКА</w:t>
      </w:r>
      <w:r>
        <w:rPr>
          <w:b/>
          <w:smallCaps/>
          <w:sz w:val="28"/>
          <w:szCs w:val="28"/>
        </w:rPr>
        <w:t>М</w:t>
      </w:r>
      <w:r>
        <w:rPr>
          <w:b/>
          <w:smallCaps/>
          <w:sz w:val="28"/>
          <w:szCs w:val="28"/>
        </w:rPr>
        <w:t xml:space="preserve"> ДА ГЛАСУВАМ“</w:t>
      </w:r>
    </w:p>
    <w:p w:rsidR="00E16793" w:rsidRDefault="00E16793">
      <w:pPr>
        <w:tabs>
          <w:tab w:val="center" w:pos="4703"/>
          <w:tab w:val="right" w:pos="9406"/>
        </w:tabs>
        <w:ind w:firstLine="708"/>
        <w:jc w:val="both"/>
      </w:pPr>
    </w:p>
    <w:p w:rsidR="00E16793" w:rsidRDefault="00E16793">
      <w:pPr>
        <w:spacing w:after="140"/>
        <w:jc w:val="both"/>
      </w:pPr>
    </w:p>
    <w:p w:rsidR="00E16793" w:rsidRDefault="0078661F">
      <w:pPr>
        <w:spacing w:after="140"/>
        <w:jc w:val="both"/>
      </w:pPr>
      <w:r>
        <w:t>До</w:t>
      </w:r>
      <w:r>
        <w:t xml:space="preserve">: </w:t>
      </w:r>
      <w:r>
        <w:tab/>
      </w:r>
      <w:r>
        <w:tab/>
        <w:t>Данаил Кирилов</w:t>
      </w:r>
    </w:p>
    <w:p w:rsidR="00E16793" w:rsidRDefault="0078661F">
      <w:pPr>
        <w:spacing w:after="140"/>
        <w:ind w:left="720" w:firstLine="720"/>
        <w:jc w:val="both"/>
      </w:pPr>
      <w:r>
        <w:t>Председател на Комисия по правни въпроси към Н</w:t>
      </w:r>
      <w:r>
        <w:t>С</w:t>
      </w:r>
    </w:p>
    <w:p w:rsidR="00E16793" w:rsidRDefault="0078661F">
      <w:pPr>
        <w:spacing w:after="140"/>
        <w:ind w:right="-562"/>
        <w:jc w:val="both"/>
      </w:pPr>
      <w:r>
        <w:t xml:space="preserve">Копие до: </w:t>
      </w:r>
      <w:r>
        <w:tab/>
        <w:t>Вносителите на ЗИД на ИК, приет на 13.07.2016, обнародван в бр. 57/2016</w:t>
      </w:r>
    </w:p>
    <w:p w:rsidR="00E16793" w:rsidRDefault="0078661F">
      <w:pPr>
        <w:spacing w:after="140"/>
        <w:ind w:left="720" w:firstLine="720"/>
        <w:jc w:val="both"/>
      </w:pPr>
      <w:r>
        <w:t>Цветан Цветанов, председател на  ПГ ГЕРБ</w:t>
      </w:r>
    </w:p>
    <w:p w:rsidR="00E16793" w:rsidRDefault="0078661F">
      <w:pPr>
        <w:spacing w:after="140"/>
        <w:jc w:val="both"/>
      </w:pPr>
      <w:r>
        <w:tab/>
      </w:r>
      <w:r>
        <w:tab/>
      </w:r>
      <w:r>
        <w:t>Красимир Каракачанов, съпредседател на ПП Патриотичен фронт</w:t>
      </w:r>
    </w:p>
    <w:p w:rsidR="00E16793" w:rsidRDefault="0078661F">
      <w:pPr>
        <w:spacing w:after="140"/>
        <w:jc w:val="both"/>
      </w:pPr>
      <w:r>
        <w:tab/>
      </w:r>
      <w:r>
        <w:tab/>
        <w:t>Валери Симеонов, съпредседател на ПП Патриотичен фронт</w:t>
      </w:r>
    </w:p>
    <w:p w:rsidR="00E16793" w:rsidRDefault="0078661F">
      <w:pPr>
        <w:spacing w:after="140"/>
        <w:jc w:val="both"/>
      </w:pPr>
      <w:r>
        <w:tab/>
      </w:r>
      <w:r>
        <w:tab/>
        <w:t>Найден Зеленогорски, съпредседател на ПГ Реформаторски блок</w:t>
      </w:r>
    </w:p>
    <w:p w:rsidR="00E16793" w:rsidRDefault="0078661F">
      <w:pPr>
        <w:spacing w:after="140"/>
        <w:jc w:val="both"/>
      </w:pPr>
      <w:r>
        <w:tab/>
      </w:r>
      <w:r>
        <w:tab/>
        <w:t>Димитър Делчев, депутат от Реформаторски блок</w:t>
      </w:r>
    </w:p>
    <w:p w:rsidR="00E16793" w:rsidRDefault="0078661F">
      <w:pPr>
        <w:spacing w:after="140"/>
        <w:jc w:val="both"/>
      </w:pPr>
      <w:r>
        <w:t xml:space="preserve">Копие до: </w:t>
      </w:r>
      <w:r>
        <w:tab/>
        <w:t>Централна избирате</w:t>
      </w:r>
      <w:r>
        <w:t xml:space="preserve">лна комисия </w:t>
      </w:r>
    </w:p>
    <w:p w:rsidR="00E16793" w:rsidRDefault="0078661F">
      <w:pPr>
        <w:spacing w:after="140"/>
        <w:jc w:val="both"/>
      </w:pPr>
      <w:r>
        <w:t xml:space="preserve">Копие до: </w:t>
      </w:r>
      <w:r>
        <w:tab/>
        <w:t>Министерство на външните работи</w:t>
      </w:r>
    </w:p>
    <w:p w:rsidR="00E16793" w:rsidRDefault="00E16793">
      <w:pPr>
        <w:spacing w:after="140"/>
        <w:jc w:val="both"/>
      </w:pPr>
    </w:p>
    <w:p w:rsidR="00E16793" w:rsidRDefault="0078661F">
      <w:pPr>
        <w:spacing w:after="140"/>
        <w:jc w:val="both"/>
      </w:pPr>
      <w:r>
        <w:rPr>
          <w:b/>
        </w:rPr>
        <w:t xml:space="preserve">Относно: </w:t>
      </w:r>
      <w:r>
        <w:rPr>
          <w:b/>
        </w:rPr>
        <w:tab/>
        <w:t xml:space="preserve">Установения режим на образуване на секции в чужбина </w:t>
      </w:r>
    </w:p>
    <w:p w:rsidR="00E16793" w:rsidRDefault="00E16793">
      <w:pPr>
        <w:jc w:val="both"/>
      </w:pPr>
    </w:p>
    <w:p w:rsidR="00E16793" w:rsidRDefault="0078661F">
      <w:pPr>
        <w:ind w:left="720" w:firstLine="708"/>
        <w:jc w:val="both"/>
      </w:pPr>
      <w:r>
        <w:t>Дами и господа народни представители</w:t>
      </w:r>
      <w:r>
        <w:t>,</w:t>
      </w:r>
    </w:p>
    <w:p w:rsidR="00E16793" w:rsidRDefault="00E16793">
      <w:pPr>
        <w:ind w:firstLine="708"/>
        <w:jc w:val="both"/>
      </w:pPr>
    </w:p>
    <w:p w:rsidR="00E16793" w:rsidRDefault="0078661F">
      <w:pPr>
        <w:ind w:left="720" w:firstLine="708"/>
        <w:jc w:val="both"/>
      </w:pPr>
      <w:r>
        <w:t xml:space="preserve">членове на Централната избирателна комисия, </w:t>
      </w:r>
    </w:p>
    <w:p w:rsidR="00E16793" w:rsidRDefault="00E16793">
      <w:pPr>
        <w:ind w:firstLine="708"/>
        <w:jc w:val="both"/>
      </w:pPr>
    </w:p>
    <w:p w:rsidR="00E16793" w:rsidRDefault="0078661F">
      <w:pPr>
        <w:ind w:left="720" w:firstLine="708"/>
        <w:jc w:val="both"/>
      </w:pPr>
      <w:r>
        <w:t xml:space="preserve">представители на Министерство на външните работи, </w:t>
      </w:r>
    </w:p>
    <w:p w:rsidR="00E16793" w:rsidRDefault="00E16793">
      <w:pPr>
        <w:jc w:val="both"/>
      </w:pPr>
    </w:p>
    <w:p w:rsidR="00E16793" w:rsidRDefault="0078661F">
      <w:pPr>
        <w:jc w:val="both"/>
      </w:pPr>
      <w:r>
        <w:t xml:space="preserve"> </w:t>
      </w:r>
      <w:r>
        <w:tab/>
      </w:r>
      <w:r>
        <w:t>С приетия ЗИД на Изборния кодекс на 13.07.2016 се гласуваха законодателни текстове в Изборния кодекс, които промениха режима за организиране на секции.  Настоящият режим премахна автоматичните секции, които отразяваха преференциите на общностите и улес</w:t>
      </w:r>
      <w:r>
        <w:t>ниха режима за откриване на секции в дипломатическите и консулските представителства (ДКП), без оглед на ефективност и необходимост от такива; увеличиха броя на изискваните заявления за откриване на секции от 40 на 60; определиха праг от 35 секции на държа</w:t>
      </w:r>
      <w:r>
        <w:t xml:space="preserve">ва. </w:t>
      </w:r>
    </w:p>
    <w:p w:rsidR="00E16793" w:rsidRDefault="00E16793">
      <w:pPr>
        <w:jc w:val="both"/>
      </w:pPr>
    </w:p>
    <w:p w:rsidR="00E16793" w:rsidRDefault="0078661F">
      <w:pPr>
        <w:ind w:firstLine="720"/>
        <w:jc w:val="both"/>
      </w:pPr>
      <w:r>
        <w:t>С настоящото писмо бихме искали да Ви уведомим за развитието на настоящата кампания и заложените капани пред възможностите за гласуване извън страната. Решенията за законодателни промени, взети без задълбочен анализ на историята на гласуване в най-мн</w:t>
      </w:r>
      <w:r>
        <w:t xml:space="preserve">огобройните и активни общности извън страната и без спазване на принципни позиции и текстове от </w:t>
      </w:r>
      <w:r>
        <w:rPr>
          <w:b/>
        </w:rPr>
        <w:t xml:space="preserve">Конституцията </w:t>
      </w:r>
      <w:r>
        <w:t xml:space="preserve">(чл. 10 и чл. 26, ал. 1) поставят сериозни предизвикателства пред правото на български граждани да упражнят своя глас. </w:t>
      </w:r>
    </w:p>
    <w:p w:rsidR="00E16793" w:rsidRDefault="00E16793">
      <w:pPr>
        <w:ind w:firstLine="720"/>
        <w:jc w:val="both"/>
      </w:pPr>
    </w:p>
    <w:p w:rsidR="00E16793" w:rsidRDefault="0078661F">
      <w:pPr>
        <w:ind w:firstLine="720"/>
        <w:jc w:val="both"/>
      </w:pPr>
      <w:r>
        <w:t>Липсата на становище от с</w:t>
      </w:r>
      <w:r>
        <w:t xml:space="preserve">трана на ЦИК и МВнР по тази тема при обсъждането на промените показва недалновидна политика от тяхна страна по отношение на справедливото и ефективно организиране на изборите в чужбина. </w:t>
      </w:r>
    </w:p>
    <w:p w:rsidR="00E16793" w:rsidRDefault="00E16793">
      <w:pPr>
        <w:ind w:firstLine="720"/>
        <w:jc w:val="both"/>
      </w:pPr>
    </w:p>
    <w:p w:rsidR="00E16793" w:rsidRDefault="00E16793">
      <w:pPr>
        <w:ind w:firstLine="720"/>
        <w:jc w:val="both"/>
      </w:pPr>
    </w:p>
    <w:p w:rsidR="00E16793" w:rsidRDefault="0078661F">
      <w:pPr>
        <w:numPr>
          <w:ilvl w:val="0"/>
          <w:numId w:val="2"/>
        </w:numPr>
        <w:ind w:hanging="360"/>
        <w:contextualSpacing/>
        <w:jc w:val="both"/>
        <w:rPr>
          <w:b/>
        </w:rPr>
      </w:pPr>
      <w:r>
        <w:rPr>
          <w:b/>
        </w:rPr>
        <w:lastRenderedPageBreak/>
        <w:t xml:space="preserve">Развитие на текущата кампания </w:t>
      </w:r>
    </w:p>
    <w:p w:rsidR="00E16793" w:rsidRDefault="00E16793">
      <w:pPr>
        <w:jc w:val="both"/>
      </w:pPr>
    </w:p>
    <w:p w:rsidR="00E16793" w:rsidRDefault="0078661F">
      <w:pPr>
        <w:ind w:firstLine="720"/>
        <w:jc w:val="both"/>
      </w:pPr>
      <w:r>
        <w:t>Към днешна дата българските граждан</w:t>
      </w:r>
      <w:r>
        <w:t>и извън страната са подали</w:t>
      </w:r>
      <w:r>
        <w:rPr>
          <w:b/>
        </w:rPr>
        <w:t xml:space="preserve"> над 27 800 </w:t>
      </w:r>
      <w:r>
        <w:t xml:space="preserve">заявления, </w:t>
      </w:r>
      <w:r>
        <w:rPr>
          <w:b/>
        </w:rPr>
        <w:t>като над 5 800 са само във Великобритания.</w:t>
      </w:r>
      <w:r>
        <w:t xml:space="preserve"> Освен автоматично откритите в ДКП 101 секции, вече са събрани заявления за откриването на 194 секции. Може да проследите </w:t>
      </w:r>
      <w:hyperlink r:id="rId8">
        <w:r>
          <w:rPr>
            <w:color w:val="1155CC"/>
            <w:u w:val="single"/>
          </w:rPr>
          <w:t>тук</w:t>
        </w:r>
      </w:hyperlink>
      <w:r>
        <w:t xml:space="preserve"> обобщената информация по държави. Данните показват, че във Великобритания, Германия, Испания, САЩ и Турция има подадени заявления за над 35 места, </w:t>
      </w:r>
      <w:r>
        <w:rPr>
          <w:b/>
        </w:rPr>
        <w:t>като във Великобритания вече за 43 места</w:t>
      </w:r>
      <w:r>
        <w:t xml:space="preserve"> са подадени повече от 60 заявления. </w:t>
      </w:r>
    </w:p>
    <w:p w:rsidR="00E16793" w:rsidRDefault="00E16793">
      <w:pPr>
        <w:jc w:val="both"/>
      </w:pPr>
    </w:p>
    <w:p w:rsidR="00E16793" w:rsidRDefault="0078661F">
      <w:pPr>
        <w:jc w:val="both"/>
      </w:pPr>
      <w:r>
        <w:tab/>
      </w:r>
      <w:r>
        <w:rPr>
          <w:b/>
        </w:rPr>
        <w:t>2. Ограничение на места</w:t>
      </w:r>
      <w:r>
        <w:rPr>
          <w:b/>
        </w:rPr>
        <w:t>та за секции до 35 на държава</w:t>
      </w:r>
    </w:p>
    <w:p w:rsidR="00E16793" w:rsidRDefault="0078661F">
      <w:pPr>
        <w:ind w:firstLine="720"/>
        <w:jc w:val="both"/>
      </w:pPr>
      <w:r>
        <w:t>В случая с Великобритания е наличен казус, при който дори при изпълнено условие за събрани над 60 заявления, няма яснота къде и по какви критерии ще се определят действащи секции за предстоящите президентски избори и референду</w:t>
      </w:r>
      <w:r>
        <w:t xml:space="preserve">м. </w:t>
      </w:r>
    </w:p>
    <w:p w:rsidR="00E16793" w:rsidRDefault="00E16793">
      <w:pPr>
        <w:jc w:val="both"/>
      </w:pPr>
    </w:p>
    <w:p w:rsidR="00E16793" w:rsidRDefault="0078661F">
      <w:pPr>
        <w:jc w:val="both"/>
      </w:pPr>
      <w:r>
        <w:tab/>
        <w:t xml:space="preserve">В становище към Правната комисия посочихме, че ограничаването на избирателни секции в държава извън страната до 35 </w:t>
      </w:r>
      <w:r>
        <w:rPr>
          <w:b/>
        </w:rPr>
        <w:t>залага сериозни рискове от неравен достъп и ограничаване на възможността за гласоподаване в държавите с най-многобройни и активни бълга</w:t>
      </w:r>
      <w:r>
        <w:rPr>
          <w:b/>
        </w:rPr>
        <w:t xml:space="preserve">рски общности. Този лимит вече е надхвърлен поради числеността и спецификата на географското разпределение на съответната общност. </w:t>
      </w:r>
    </w:p>
    <w:p w:rsidR="00E16793" w:rsidRDefault="00E16793">
      <w:pPr>
        <w:jc w:val="both"/>
      </w:pPr>
    </w:p>
    <w:p w:rsidR="00E16793" w:rsidRDefault="0078661F">
      <w:pPr>
        <w:spacing w:after="300"/>
        <w:ind w:firstLine="720"/>
        <w:jc w:val="both"/>
      </w:pPr>
      <w:r>
        <w:rPr>
          <w:highlight w:val="white"/>
        </w:rPr>
        <w:t>В допълнение, липсват ясни критерии за определяне на необходимостта от налагане на таван от точно 35 секции, както и такива</w:t>
      </w:r>
      <w:r>
        <w:rPr>
          <w:highlight w:val="white"/>
        </w:rPr>
        <w:t>, по които ще бъдат взети евентуалните крайни решения на кои места в съответната държава  ще се организират секции при повече подадени заявления и как ще се приоритизират съответните локации. Подобно решение, без ясно разписани правила и принципи, ще довед</w:t>
      </w:r>
      <w:r>
        <w:rPr>
          <w:highlight w:val="white"/>
        </w:rPr>
        <w:t xml:space="preserve">е до сериозни спънки пред изпълняващите разписанията на новия Изборен кодекс. До очевидна неравнопоставеност и сериозна дискриминация спрямо някои български общности в чужбина и ще демотивира българските граждани зад граница да гласуват. Логистичният хаос </w:t>
      </w:r>
      <w:r>
        <w:rPr>
          <w:highlight w:val="white"/>
        </w:rPr>
        <w:t xml:space="preserve">ще доведе до спънки пред желаещите да гласуват, понижена ефективност на изборния процес заради свръхнатовареност на ключови секции и по този начин ще допринесе чувствително за намаляване на избирателната активност. </w:t>
      </w:r>
    </w:p>
    <w:p w:rsidR="00E16793" w:rsidRDefault="0078661F">
      <w:pPr>
        <w:spacing w:after="300"/>
        <w:jc w:val="both"/>
      </w:pPr>
      <w:r>
        <w:rPr>
          <w:highlight w:val="white"/>
        </w:rPr>
        <w:tab/>
      </w:r>
      <w:r>
        <w:rPr>
          <w:highlight w:val="white"/>
        </w:rPr>
        <w:t xml:space="preserve">Предвид реалния казус във Великобритания, се обръщаме към Вас, за да вземете отношение към прилагането на Изборния кодекс по справедлив начин като предвидите: </w:t>
      </w:r>
    </w:p>
    <w:p w:rsidR="00E16793" w:rsidRDefault="0078661F">
      <w:pPr>
        <w:numPr>
          <w:ilvl w:val="0"/>
          <w:numId w:val="1"/>
        </w:numPr>
        <w:spacing w:after="300"/>
        <w:ind w:hanging="360"/>
        <w:contextualSpacing/>
        <w:jc w:val="both"/>
        <w:rPr>
          <w:highlight w:val="white"/>
        </w:rPr>
      </w:pPr>
      <w:r>
        <w:rPr>
          <w:highlight w:val="white"/>
        </w:rPr>
        <w:t xml:space="preserve">Ясни, логични и основани на данни критерии за избор на местата, където изборни секции биха отпаднали. </w:t>
      </w:r>
    </w:p>
    <w:p w:rsidR="00E16793" w:rsidRDefault="0078661F">
      <w:pPr>
        <w:numPr>
          <w:ilvl w:val="0"/>
          <w:numId w:val="1"/>
        </w:numPr>
        <w:spacing w:after="300"/>
        <w:ind w:hanging="360"/>
        <w:contextualSpacing/>
        <w:jc w:val="both"/>
        <w:rPr>
          <w:highlight w:val="white"/>
        </w:rPr>
      </w:pPr>
      <w:r>
        <w:rPr>
          <w:highlight w:val="white"/>
        </w:rPr>
        <w:t xml:space="preserve">Възможност за организиране на повече от една секция на местата, събрали над 60 заявления и където обичайно се очаква изключителна натовареност (например </w:t>
      </w:r>
      <w:r>
        <w:rPr>
          <w:highlight w:val="white"/>
        </w:rPr>
        <w:t xml:space="preserve">посолството в Лондон) и готовност за прилагане на този подход и в други държави. </w:t>
      </w:r>
    </w:p>
    <w:p w:rsidR="00E16793" w:rsidRDefault="0078661F">
      <w:pPr>
        <w:numPr>
          <w:ilvl w:val="0"/>
          <w:numId w:val="1"/>
        </w:numPr>
        <w:spacing w:after="300"/>
        <w:ind w:hanging="360"/>
        <w:contextualSpacing/>
        <w:jc w:val="both"/>
        <w:rPr>
          <w:highlight w:val="white"/>
        </w:rPr>
      </w:pPr>
      <w:r>
        <w:rPr>
          <w:highlight w:val="white"/>
        </w:rPr>
        <w:t>Сериозно обсъждане на варианти за функционални изключения от ограничителното правило за 35 секции в държава, в съответствие с наличните по настоящем факти,  като например бро</w:t>
      </w:r>
      <w:r>
        <w:rPr>
          <w:highlight w:val="white"/>
        </w:rPr>
        <w:t xml:space="preserve">ят заявления, подадени във Великобритания. </w:t>
      </w:r>
    </w:p>
    <w:p w:rsidR="00E16793" w:rsidRDefault="0078661F">
      <w:pPr>
        <w:numPr>
          <w:ilvl w:val="0"/>
          <w:numId w:val="1"/>
        </w:numPr>
        <w:spacing w:after="300"/>
        <w:ind w:hanging="360"/>
        <w:contextualSpacing/>
        <w:jc w:val="both"/>
        <w:rPr>
          <w:highlight w:val="white"/>
        </w:rPr>
      </w:pPr>
      <w:r>
        <w:rPr>
          <w:highlight w:val="white"/>
        </w:rPr>
        <w:t xml:space="preserve">Отделните територии, които съставляват Обединеното кралство - Англия, Шотландия и Северна Ирландия се ползват със специален автономен статут с </w:t>
      </w:r>
      <w:r>
        <w:rPr>
          <w:highlight w:val="white"/>
        </w:rPr>
        <w:lastRenderedPageBreak/>
        <w:t>национални парламенти в Шотландия и Северна Ирландия</w:t>
      </w:r>
      <w:r>
        <w:rPr>
          <w:highlight w:val="white"/>
          <w:vertAlign w:val="superscript"/>
        </w:rPr>
        <w:footnoteReference w:id="1"/>
      </w:r>
      <w:r>
        <w:rPr>
          <w:highlight w:val="white"/>
        </w:rPr>
        <w:t>. Това специално</w:t>
      </w:r>
      <w:r>
        <w:rPr>
          <w:highlight w:val="white"/>
        </w:rPr>
        <w:t xml:space="preserve"> държавно устройство може да се приложи при разпределението на секциите като те се броят отделно за всяка една от териториите в кралството. </w:t>
      </w:r>
    </w:p>
    <w:p w:rsidR="00E16793" w:rsidRDefault="0078661F">
      <w:pPr>
        <w:numPr>
          <w:ilvl w:val="0"/>
          <w:numId w:val="1"/>
        </w:numPr>
        <w:spacing w:after="300"/>
        <w:ind w:hanging="360"/>
        <w:contextualSpacing/>
        <w:jc w:val="both"/>
        <w:rPr>
          <w:highlight w:val="white"/>
        </w:rPr>
      </w:pPr>
      <w:r>
        <w:rPr>
          <w:highlight w:val="white"/>
        </w:rPr>
        <w:t>В случай на взето решение за неразкриване на някои от секциите с 60 или повече заявления, надхвърлящи ограничението</w:t>
      </w:r>
      <w:r>
        <w:rPr>
          <w:highlight w:val="white"/>
        </w:rPr>
        <w:t xml:space="preserve"> от 35 секции за държава, гражданите, подали заявления в отпадащите секции да бъдат уведомени на имейла, посочен в заявленията, относно взетото решение и използваните критерии. </w:t>
      </w:r>
    </w:p>
    <w:p w:rsidR="00E16793" w:rsidRDefault="0078661F">
      <w:pPr>
        <w:jc w:val="both"/>
      </w:pPr>
      <w:r>
        <w:tab/>
      </w:r>
    </w:p>
    <w:p w:rsidR="00E16793" w:rsidRDefault="0078661F">
      <w:pPr>
        <w:jc w:val="both"/>
      </w:pPr>
      <w:r>
        <w:rPr>
          <w:b/>
        </w:rPr>
        <w:t>От името на група доброволци за улесняване на организацията на изборите в чу</w:t>
      </w:r>
      <w:r>
        <w:rPr>
          <w:b/>
        </w:rPr>
        <w:t xml:space="preserve">жбина: </w:t>
      </w:r>
    </w:p>
    <w:p w:rsidR="00E16793" w:rsidRDefault="0078661F">
      <w:pPr>
        <w:jc w:val="both"/>
      </w:pPr>
      <w:r>
        <w:tab/>
        <w:t>Мария Спирова, Великобритания</w:t>
      </w:r>
    </w:p>
    <w:p w:rsidR="00E16793" w:rsidRDefault="0078661F">
      <w:pPr>
        <w:ind w:firstLine="720"/>
        <w:jc w:val="both"/>
      </w:pPr>
      <w:r>
        <w:t>Десислава Христова, Великобритания</w:t>
      </w:r>
    </w:p>
    <w:p w:rsidR="00E16793" w:rsidRDefault="0078661F">
      <w:pPr>
        <w:jc w:val="both"/>
      </w:pPr>
      <w:r>
        <w:tab/>
        <w:t>Бела Димова, Великобритания</w:t>
      </w:r>
    </w:p>
    <w:p w:rsidR="00E16793" w:rsidRDefault="0078661F">
      <w:pPr>
        <w:ind w:firstLine="720"/>
        <w:jc w:val="both"/>
      </w:pPr>
      <w:r>
        <w:t>Вяра Томова, Великобритания</w:t>
      </w:r>
    </w:p>
    <w:p w:rsidR="00E16793" w:rsidRDefault="0078661F">
      <w:pPr>
        <w:ind w:firstLine="720"/>
        <w:jc w:val="both"/>
      </w:pPr>
      <w:r>
        <w:t>Елена Божинова-Хан, Великобритания</w:t>
      </w:r>
    </w:p>
    <w:p w:rsidR="00E16793" w:rsidRDefault="0078661F">
      <w:pPr>
        <w:ind w:firstLine="720"/>
        <w:jc w:val="both"/>
      </w:pPr>
      <w:r>
        <w:t>Елена Хамбарджиева, САЩ</w:t>
      </w:r>
    </w:p>
    <w:p w:rsidR="00E16793" w:rsidRDefault="0078661F">
      <w:pPr>
        <w:ind w:firstLine="720"/>
        <w:jc w:val="both"/>
      </w:pPr>
      <w:r>
        <w:t>Нели Олова, Великобритания</w:t>
      </w:r>
    </w:p>
    <w:p w:rsidR="00E16793" w:rsidRDefault="0078661F">
      <w:pPr>
        <w:ind w:firstLine="720"/>
        <w:jc w:val="both"/>
      </w:pPr>
      <w:r>
        <w:t>Бернард Конфортов, Великобритания</w:t>
      </w:r>
    </w:p>
    <w:p w:rsidR="00E16793" w:rsidRDefault="0078661F">
      <w:pPr>
        <w:ind w:firstLine="720"/>
        <w:jc w:val="both"/>
      </w:pPr>
      <w:r>
        <w:t xml:space="preserve">Жени </w:t>
      </w:r>
      <w:r>
        <w:t>Щерева, Великобритания</w:t>
      </w:r>
    </w:p>
    <w:p w:rsidR="00E16793" w:rsidRDefault="0078661F">
      <w:pPr>
        <w:ind w:firstLine="720"/>
        <w:jc w:val="both"/>
      </w:pPr>
      <w:r>
        <w:t>Лора Петкова, Великобритания</w:t>
      </w:r>
    </w:p>
    <w:p w:rsidR="00E16793" w:rsidRDefault="0078661F">
      <w:pPr>
        <w:ind w:firstLine="720"/>
        <w:jc w:val="both"/>
      </w:pPr>
      <w:r>
        <w:t>Ивайло Яйджиев, Великобритания</w:t>
      </w:r>
    </w:p>
    <w:p w:rsidR="00E16793" w:rsidRDefault="0078661F">
      <w:pPr>
        <w:ind w:firstLine="720"/>
        <w:jc w:val="both"/>
      </w:pPr>
      <w:r>
        <w:t>Димитър Иванов, Швейцария</w:t>
      </w:r>
    </w:p>
    <w:p w:rsidR="00E16793" w:rsidRDefault="0078661F">
      <w:pPr>
        <w:ind w:firstLine="720"/>
        <w:jc w:val="both"/>
      </w:pPr>
      <w:r>
        <w:t xml:space="preserve">Антоанета Тончева, Германия </w:t>
      </w:r>
    </w:p>
    <w:p w:rsidR="00E16793" w:rsidRDefault="0078661F">
      <w:pPr>
        <w:ind w:firstLine="720"/>
        <w:jc w:val="both"/>
      </w:pPr>
      <w:r>
        <w:t>Никола Пенев, Великобритания</w:t>
      </w:r>
    </w:p>
    <w:p w:rsidR="00E16793" w:rsidRDefault="0078661F">
      <w:pPr>
        <w:ind w:firstLine="720"/>
        <w:jc w:val="both"/>
      </w:pPr>
      <w:r>
        <w:t xml:space="preserve">Силвия Атипова, Белгия </w:t>
      </w:r>
    </w:p>
    <w:p w:rsidR="00E16793" w:rsidRDefault="0078661F">
      <w:pPr>
        <w:ind w:firstLine="720"/>
        <w:jc w:val="both"/>
      </w:pPr>
      <w:r>
        <w:t>Мария Карвър, Великобритания</w:t>
      </w:r>
    </w:p>
    <w:p w:rsidR="00E16793" w:rsidRDefault="0078661F">
      <w:pPr>
        <w:ind w:firstLine="720"/>
        <w:jc w:val="both"/>
      </w:pPr>
      <w:r>
        <w:t>Алина Добрева, Белгия</w:t>
      </w:r>
    </w:p>
    <w:p w:rsidR="00E16793" w:rsidRDefault="0078661F">
      <w:pPr>
        <w:ind w:firstLine="720"/>
        <w:jc w:val="both"/>
      </w:pPr>
      <w:r>
        <w:t>Надежда Наумов</w:t>
      </w:r>
      <w:r>
        <w:t xml:space="preserve">а, САЩ </w:t>
      </w:r>
    </w:p>
    <w:p w:rsidR="00E16793" w:rsidRDefault="0078661F">
      <w:pPr>
        <w:ind w:firstLine="720"/>
        <w:jc w:val="both"/>
      </w:pPr>
      <w:r>
        <w:t>Зорка Михайлова, Гърция</w:t>
      </w:r>
    </w:p>
    <w:p w:rsidR="00E16793" w:rsidRDefault="0078661F">
      <w:pPr>
        <w:ind w:firstLine="720"/>
        <w:jc w:val="both"/>
      </w:pPr>
      <w:r>
        <w:t>Зорита Бишов, Швейцария</w:t>
      </w:r>
    </w:p>
    <w:p w:rsidR="00E16793" w:rsidRDefault="0078661F">
      <w:pPr>
        <w:ind w:firstLine="720"/>
        <w:jc w:val="both"/>
      </w:pPr>
      <w:r>
        <w:t>Екатерина Василева, Великобритания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Валентина Иванова Стефанова, Северна Ирландия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Павлина Боралиева, Великобритания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Десислава Тодорова, Великобритания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Искрен Митев, Великобритания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Светломира Костова, Испания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Йордан Костов, Норвегия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Стефан Кончев, Малта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Светлана Бучкова, Швейцария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>Диди Михова, Малта</w:t>
      </w:r>
    </w:p>
    <w:p w:rsidR="00E16793" w:rsidRDefault="0078661F">
      <w:pPr>
        <w:ind w:firstLine="720"/>
        <w:jc w:val="both"/>
      </w:pPr>
      <w:r>
        <w:rPr>
          <w:color w:val="1D2129"/>
          <w:highlight w:val="white"/>
        </w:rPr>
        <w:t xml:space="preserve">Симеон Иванов, Великобритания </w:t>
      </w:r>
    </w:p>
    <w:p w:rsidR="00E16793" w:rsidRDefault="0078661F">
      <w:pPr>
        <w:ind w:firstLine="720"/>
        <w:jc w:val="both"/>
        <w:rPr>
          <w:color w:val="1D2129"/>
        </w:rPr>
      </w:pPr>
      <w:r>
        <w:rPr>
          <w:color w:val="1D2129"/>
          <w:highlight w:val="white"/>
        </w:rPr>
        <w:t>Бернард Конфортов, Великобритания</w:t>
      </w:r>
    </w:p>
    <w:p w:rsidR="00CD2EAB" w:rsidRDefault="00CD2EAB">
      <w:pPr>
        <w:ind w:firstLine="720"/>
        <w:jc w:val="both"/>
      </w:pPr>
      <w:r>
        <w:rPr>
          <w:color w:val="1D2129"/>
        </w:rPr>
        <w:t>Татяна Мирчева, Швеция</w:t>
      </w:r>
      <w:bookmarkStart w:id="0" w:name="_GoBack"/>
      <w:bookmarkEnd w:id="0"/>
    </w:p>
    <w:sectPr w:rsidR="00CD2EA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1F" w:rsidRDefault="0078661F">
      <w:r>
        <w:separator/>
      </w:r>
    </w:p>
  </w:endnote>
  <w:endnote w:type="continuationSeparator" w:id="0">
    <w:p w:rsidR="0078661F" w:rsidRDefault="0078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1F" w:rsidRDefault="0078661F">
      <w:r>
        <w:separator/>
      </w:r>
    </w:p>
  </w:footnote>
  <w:footnote w:type="continuationSeparator" w:id="0">
    <w:p w:rsidR="0078661F" w:rsidRDefault="0078661F">
      <w:r>
        <w:continuationSeparator/>
      </w:r>
    </w:p>
  </w:footnote>
  <w:footnote w:id="1">
    <w:p w:rsidR="00E16793" w:rsidRDefault="0078661F"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https://www.gov.uk/guidance/devolution-of-powers-to-scotland-wales-and-northern-ireland</w:t>
        </w:r>
      </w:hyperlink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93" w:rsidRDefault="00E167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6F3"/>
    <w:multiLevelType w:val="multilevel"/>
    <w:tmpl w:val="7354D3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7FBF14EC"/>
    <w:multiLevelType w:val="multilevel"/>
    <w:tmpl w:val="AFBC53E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6793"/>
    <w:rsid w:val="0078661F"/>
    <w:rsid w:val="00CD2EAB"/>
    <w:rsid w:val="00E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tabs>
        <w:tab w:val="left" w:pos="864"/>
      </w:tabs>
      <w:spacing w:before="120" w:after="120"/>
      <w:ind w:left="864" w:hanging="864"/>
      <w:outlineLvl w:val="3"/>
    </w:pPr>
    <w:rPr>
      <w:rFonts w:ascii="Liberation Serif" w:eastAsia="Liberation Serif" w:hAnsi="Liberation Serif" w:cs="Liberation Serif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tabs>
        <w:tab w:val="left" w:pos="864"/>
      </w:tabs>
      <w:spacing w:before="120" w:after="120"/>
      <w:ind w:left="864" w:hanging="864"/>
      <w:outlineLvl w:val="3"/>
    </w:pPr>
    <w:rPr>
      <w:rFonts w:ascii="Liberation Serif" w:eastAsia="Liberation Serif" w:hAnsi="Liberation Serif" w:cs="Liberation Serif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suvam.org/ci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uidance/devolution-of-powers-to-scotland-wales-and-northern-ir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 Mirchev</cp:lastModifiedBy>
  <cp:revision>2</cp:revision>
  <dcterms:created xsi:type="dcterms:W3CDTF">2016-10-11T02:30:00Z</dcterms:created>
  <dcterms:modified xsi:type="dcterms:W3CDTF">2016-10-11T02:30:00Z</dcterms:modified>
</cp:coreProperties>
</file>