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51" w:rsidRDefault="006B3823">
      <w:pPr>
        <w:jc w:val="center"/>
        <w:rPr>
          <w:rFonts w:ascii="Verdana" w:hAnsi="Verdana" w:cs="Verdana"/>
          <w:b/>
          <w:color w:val="339966"/>
          <w:sz w:val="16"/>
          <w:szCs w:val="16"/>
        </w:rPr>
      </w:pPr>
      <w:r>
        <w:rPr>
          <w:rFonts w:ascii="Verdana" w:hAnsi="Verdana" w:cs="Verdana"/>
          <w:b/>
          <w:color w:val="339966"/>
          <w:sz w:val="96"/>
          <w:szCs w:val="96"/>
        </w:rPr>
        <w:t>ГД БОПП</w:t>
      </w:r>
    </w:p>
    <w:p w:rsidR="00366A51" w:rsidRDefault="006B3823">
      <w:pPr>
        <w:jc w:val="center"/>
        <w:rPr>
          <w:rFonts w:ascii="Verdana" w:hAnsi="Verdana" w:cs="Verdana"/>
          <w:b/>
          <w:color w:val="FF0000"/>
          <w:sz w:val="12"/>
          <w:szCs w:val="12"/>
        </w:rPr>
      </w:pPr>
      <w:r>
        <w:rPr>
          <w:rFonts w:ascii="Verdana" w:hAnsi="Verdana" w:cs="Verdana"/>
          <w:b/>
          <w:color w:val="FF0000"/>
          <w:sz w:val="12"/>
          <w:szCs w:val="12"/>
        </w:rPr>
        <w:t>/Гражданско движение за борба с организираната политическа престъпност/</w:t>
      </w:r>
    </w:p>
    <w:p w:rsidR="00366A51" w:rsidRDefault="006B3823">
      <w:pPr>
        <w:rPr>
          <w:sz w:val="24"/>
          <w:szCs w:val="24"/>
        </w:rPr>
      </w:pPr>
      <w:r>
        <w:rPr>
          <w:sz w:val="24"/>
          <w:szCs w:val="24"/>
        </w:rPr>
        <w:t>21.06.2016 г.</w:t>
      </w:r>
    </w:p>
    <w:p w:rsidR="00366A51" w:rsidRDefault="00366A51">
      <w:pPr>
        <w:pStyle w:val="ac"/>
        <w:ind w:left="708" w:firstLine="708"/>
        <w:rPr>
          <w:sz w:val="24"/>
          <w:szCs w:val="24"/>
        </w:rPr>
      </w:pPr>
    </w:p>
    <w:p w:rsidR="00366A51" w:rsidRDefault="00366A51">
      <w:pPr>
        <w:pStyle w:val="ac"/>
        <w:ind w:left="708" w:firstLine="708"/>
        <w:rPr>
          <w:sz w:val="24"/>
          <w:szCs w:val="24"/>
        </w:rPr>
      </w:pPr>
    </w:p>
    <w:p w:rsidR="00366A51" w:rsidRDefault="006B3823">
      <w:pPr>
        <w:pStyle w:val="ac"/>
      </w:pPr>
      <w:r>
        <w:rPr>
          <w:sz w:val="24"/>
          <w:szCs w:val="24"/>
        </w:rPr>
        <w:t>ДО:</w:t>
      </w:r>
    </w:p>
    <w:p w:rsidR="00366A51" w:rsidRDefault="006B3823">
      <w:pPr>
        <w:pStyle w:val="ac"/>
        <w:rPr>
          <w:color w:val="auto"/>
        </w:rPr>
      </w:pPr>
      <w:r>
        <w:rPr>
          <w:color w:val="auto"/>
          <w:sz w:val="24"/>
          <w:szCs w:val="24"/>
        </w:rPr>
        <w:t>OLAF – DIRECTOR GENERAL</w:t>
      </w:r>
    </w:p>
    <w:p w:rsidR="00366A51" w:rsidRDefault="006B3823">
      <w:pPr>
        <w:pStyle w:val="ac"/>
      </w:pPr>
      <w:r>
        <w:rPr>
          <w:color w:val="auto"/>
          <w:sz w:val="24"/>
          <w:szCs w:val="24"/>
        </w:rPr>
        <w:t>OLAF –</w:t>
      </w:r>
      <w:r>
        <w:rPr>
          <w:rStyle w:val="StrongEmphasis"/>
          <w:color w:val="auto"/>
          <w:sz w:val="24"/>
          <w:szCs w:val="24"/>
        </w:rPr>
        <w:t xml:space="preserve"> </w:t>
      </w:r>
      <w:r>
        <w:rPr>
          <w:rStyle w:val="StrongEmphasis"/>
          <w:b w:val="0"/>
          <w:color w:val="auto"/>
          <w:sz w:val="24"/>
          <w:szCs w:val="24"/>
        </w:rPr>
        <w:t>DIRECTORATE B – INVESTIGATION II,</w:t>
      </w:r>
      <w:r>
        <w:rPr>
          <w:rStyle w:val="apple-converted-space"/>
          <w:color w:val="auto"/>
          <w:sz w:val="24"/>
          <w:szCs w:val="24"/>
          <w:shd w:val="clear" w:color="auto" w:fill="FFFFFF"/>
        </w:rPr>
        <w:t xml:space="preserve"> </w:t>
      </w:r>
      <w:r>
        <w:rPr>
          <w:color w:val="auto"/>
          <w:sz w:val="24"/>
          <w:szCs w:val="24"/>
          <w:shd w:val="clear" w:color="auto" w:fill="FFFFFF"/>
        </w:rPr>
        <w:t>AGRICULTURAL &amp; STRUCTURAL FUNDS</w:t>
      </w:r>
    </w:p>
    <w:p w:rsidR="00366A51" w:rsidRDefault="006B3823">
      <w:pPr>
        <w:pStyle w:val="ac"/>
        <w:rPr>
          <w:color w:val="333333"/>
          <w:sz w:val="24"/>
          <w:szCs w:val="24"/>
          <w:highlight w:val="white"/>
        </w:rPr>
      </w:pPr>
      <w:r>
        <w:rPr>
          <w:color w:val="auto"/>
          <w:sz w:val="24"/>
          <w:szCs w:val="24"/>
          <w:shd w:val="clear" w:color="auto" w:fill="FFFFFF"/>
        </w:rPr>
        <w:t>КОМИСИЯТА ПО ЗЕМЕДЕЛИЕ КЪМ ЕК</w:t>
      </w:r>
    </w:p>
    <w:p w:rsidR="00366A51" w:rsidRDefault="006B3823">
      <w:pPr>
        <w:pStyle w:val="ac"/>
        <w:rPr>
          <w:color w:val="333333"/>
          <w:sz w:val="24"/>
          <w:szCs w:val="24"/>
          <w:highlight w:val="white"/>
        </w:rPr>
      </w:pPr>
      <w:r>
        <w:rPr>
          <w:color w:val="auto"/>
          <w:sz w:val="24"/>
          <w:szCs w:val="24"/>
          <w:shd w:val="clear" w:color="auto" w:fill="FFFFFF"/>
        </w:rPr>
        <w:t>КОМИСИЯТА ПО ПРАВОСЪДИЕ КЪМ ЕК</w:t>
      </w:r>
    </w:p>
    <w:p w:rsidR="00366A51" w:rsidRDefault="00366A51">
      <w:pPr>
        <w:pStyle w:val="ac"/>
        <w:rPr>
          <w:color w:val="333333"/>
          <w:sz w:val="24"/>
          <w:szCs w:val="24"/>
          <w:highlight w:val="white"/>
        </w:rPr>
      </w:pPr>
    </w:p>
    <w:p w:rsidR="00366A51" w:rsidRDefault="006B3823">
      <w:pPr>
        <w:pStyle w:val="ac"/>
        <w:rPr>
          <w:sz w:val="24"/>
          <w:szCs w:val="24"/>
        </w:rPr>
      </w:pPr>
      <w:r>
        <w:rPr>
          <w:sz w:val="24"/>
          <w:szCs w:val="24"/>
        </w:rPr>
        <w:t xml:space="preserve">КОПИЕ ДО: </w:t>
      </w:r>
    </w:p>
    <w:p w:rsidR="00366A51" w:rsidRDefault="006B3823">
      <w:pPr>
        <w:pStyle w:val="ac"/>
        <w:ind w:left="708" w:firstLine="708"/>
        <w:rPr>
          <w:sz w:val="24"/>
          <w:szCs w:val="24"/>
        </w:rPr>
      </w:pPr>
      <w:r>
        <w:rPr>
          <w:sz w:val="24"/>
          <w:szCs w:val="24"/>
        </w:rPr>
        <w:t>АФКОС БЪЛГАРИЯ</w:t>
      </w:r>
    </w:p>
    <w:p w:rsidR="00366A51" w:rsidRDefault="006B3823">
      <w:pPr>
        <w:pStyle w:val="ac"/>
        <w:ind w:left="708" w:firstLine="708"/>
        <w:rPr>
          <w:sz w:val="24"/>
          <w:szCs w:val="24"/>
        </w:rPr>
      </w:pPr>
      <w:r>
        <w:rPr>
          <w:sz w:val="24"/>
          <w:szCs w:val="24"/>
        </w:rPr>
        <w:t>ГЛАВНИЯ ПРОКУРОР НА Р. БЪЛГАРИЯ</w:t>
      </w:r>
    </w:p>
    <w:p w:rsidR="00366A51" w:rsidRDefault="006B3823">
      <w:pPr>
        <w:pStyle w:val="ac"/>
        <w:ind w:left="708" w:firstLine="708"/>
        <w:rPr>
          <w:sz w:val="24"/>
          <w:szCs w:val="24"/>
        </w:rPr>
      </w:pPr>
      <w:r>
        <w:rPr>
          <w:sz w:val="24"/>
          <w:szCs w:val="24"/>
        </w:rPr>
        <w:t>МИНИСТЕРСКИ СЪВЕТ НА Р. БЪЛГАРИЯ</w:t>
      </w:r>
    </w:p>
    <w:p w:rsidR="00366A51" w:rsidRDefault="006B3823">
      <w:pPr>
        <w:pStyle w:val="ac"/>
        <w:ind w:left="708" w:firstLine="708"/>
        <w:rPr>
          <w:sz w:val="24"/>
          <w:szCs w:val="24"/>
        </w:rPr>
      </w:pPr>
      <w:r>
        <w:rPr>
          <w:sz w:val="24"/>
          <w:szCs w:val="24"/>
        </w:rPr>
        <w:t>МИНИСТЕРСТВО НА ЗЕМЕДЕЛИЕТО И ХРАНИТЕ</w:t>
      </w:r>
    </w:p>
    <w:p w:rsidR="00366A51" w:rsidRDefault="006B3823">
      <w:pPr>
        <w:pStyle w:val="ac"/>
        <w:ind w:left="708" w:firstLine="708"/>
        <w:rPr>
          <w:sz w:val="24"/>
          <w:szCs w:val="24"/>
        </w:rPr>
      </w:pPr>
      <w:r>
        <w:rPr>
          <w:sz w:val="24"/>
          <w:szCs w:val="24"/>
        </w:rPr>
        <w:t>МЕДИИ</w:t>
      </w:r>
    </w:p>
    <w:p w:rsidR="00366A51" w:rsidRDefault="00366A51">
      <w:pPr>
        <w:pStyle w:val="ac"/>
        <w:rPr>
          <w:sz w:val="24"/>
          <w:szCs w:val="24"/>
        </w:rPr>
      </w:pPr>
    </w:p>
    <w:p w:rsidR="00366A51" w:rsidRDefault="00366A51">
      <w:pPr>
        <w:pStyle w:val="ac"/>
        <w:rPr>
          <w:sz w:val="24"/>
          <w:szCs w:val="24"/>
        </w:rPr>
      </w:pPr>
    </w:p>
    <w:p w:rsidR="00366A51" w:rsidRDefault="006B3823">
      <w:pPr>
        <w:pStyle w:val="ac"/>
        <w:ind w:firstLine="567"/>
      </w:pPr>
      <w:r>
        <w:rPr>
          <w:sz w:val="24"/>
          <w:szCs w:val="24"/>
        </w:rPr>
        <w:t xml:space="preserve">УВАЖАЕМИ </w:t>
      </w:r>
      <w:r>
        <w:rPr>
          <w:rStyle w:val="StrongEmphasis"/>
          <w:rFonts w:cs="Arial"/>
          <w:b w:val="0"/>
          <w:sz w:val="24"/>
          <w:szCs w:val="24"/>
          <w:shd w:val="clear" w:color="auto" w:fill="FFFFFF"/>
        </w:rPr>
        <w:t>MR GIOVANNI KESSLER</w:t>
      </w:r>
      <w:r>
        <w:rPr>
          <w:sz w:val="24"/>
          <w:szCs w:val="24"/>
        </w:rPr>
        <w:t>,</w:t>
      </w:r>
      <w:r>
        <w:rPr>
          <w:b/>
          <w:sz w:val="24"/>
          <w:szCs w:val="24"/>
        </w:rPr>
        <w:t xml:space="preserve"> </w:t>
      </w:r>
      <w:r>
        <w:rPr>
          <w:rStyle w:val="StrongEmphasis"/>
          <w:rFonts w:cs="Arial"/>
          <w:b w:val="0"/>
          <w:sz w:val="24"/>
          <w:szCs w:val="24"/>
          <w:shd w:val="clear" w:color="auto" w:fill="FFFFFF"/>
        </w:rPr>
        <w:t>MR</w:t>
      </w:r>
      <w:r>
        <w:rPr>
          <w:b/>
          <w:sz w:val="24"/>
          <w:szCs w:val="24"/>
        </w:rPr>
        <w:t xml:space="preserve"> </w:t>
      </w:r>
      <w:r>
        <w:rPr>
          <w:sz w:val="24"/>
          <w:szCs w:val="24"/>
          <w:shd w:val="clear" w:color="auto" w:fill="FFFFFF"/>
        </w:rPr>
        <w:t>Н. ILETT,</w:t>
      </w:r>
      <w:r>
        <w:rPr>
          <w:sz w:val="24"/>
          <w:szCs w:val="24"/>
        </w:rPr>
        <w:t xml:space="preserve"> ГОСПОЖИ И ГОСПОДА,</w:t>
      </w:r>
    </w:p>
    <w:p w:rsidR="00366A51" w:rsidRDefault="00366A51">
      <w:pPr>
        <w:pStyle w:val="ac"/>
        <w:ind w:firstLine="567"/>
        <w:jc w:val="both"/>
        <w:rPr>
          <w:sz w:val="24"/>
          <w:szCs w:val="24"/>
        </w:rPr>
      </w:pPr>
    </w:p>
    <w:p w:rsidR="00366A51" w:rsidRPr="003D36F6" w:rsidRDefault="006B3823">
      <w:pPr>
        <w:pStyle w:val="ac"/>
        <w:ind w:firstLine="567"/>
        <w:jc w:val="both"/>
        <w:rPr>
          <w:sz w:val="24"/>
          <w:szCs w:val="24"/>
        </w:rPr>
      </w:pPr>
      <w:r>
        <w:rPr>
          <w:sz w:val="24"/>
          <w:szCs w:val="24"/>
        </w:rPr>
        <w:tab/>
        <w:t>На 17.03.2014 г. изпратихме до Вас сигнал с факти и доказателства за организирана престъпна група /ОПГ/, която заграби над 170 милиона евро за 2013 г. при неправомерно прилагане на мярка 214 „</w:t>
      </w:r>
      <w:proofErr w:type="spellStart"/>
      <w:r>
        <w:rPr>
          <w:sz w:val="24"/>
          <w:szCs w:val="24"/>
        </w:rPr>
        <w:t>Агроекологични</w:t>
      </w:r>
      <w:proofErr w:type="spellEnd"/>
      <w:r>
        <w:rPr>
          <w:sz w:val="24"/>
          <w:szCs w:val="24"/>
        </w:rPr>
        <w:t xml:space="preserve"> плащания“ от Програмата за развитие на селските райони /ПРСР/ за периода 2007-2013 г., финансирана от Европейския земеделски фонд за развитие на селските райони /ЕЗФРСР/. </w:t>
      </w:r>
      <w:r w:rsidRPr="00ED36E3">
        <w:rPr>
          <w:sz w:val="28"/>
          <w:szCs w:val="28"/>
        </w:rPr>
        <w:t>/</w:t>
      </w:r>
      <w:r w:rsidRPr="00ED36E3">
        <w:rPr>
          <w:b/>
          <w:sz w:val="28"/>
          <w:szCs w:val="28"/>
        </w:rPr>
        <w:t>Приложение 1/</w:t>
      </w:r>
      <w:r w:rsidR="003D36F6">
        <w:rPr>
          <w:b/>
          <w:sz w:val="28"/>
          <w:szCs w:val="28"/>
        </w:rPr>
        <w:t xml:space="preserve">, </w:t>
      </w:r>
      <w:r w:rsidR="003D36F6" w:rsidRPr="003D36F6">
        <w:rPr>
          <w:b/>
          <w:sz w:val="24"/>
          <w:szCs w:val="24"/>
        </w:rPr>
        <w:t>http://www.bluelink.net/novini/signal-do-olaf-za-zagrabvane-na-evrofondove-po-myarka-214-ot-politicheskata-mafiya.html</w:t>
      </w:r>
    </w:p>
    <w:p w:rsidR="00366A51" w:rsidRDefault="006B3823">
      <w:pPr>
        <w:pStyle w:val="ac"/>
        <w:ind w:firstLine="567"/>
        <w:jc w:val="both"/>
        <w:rPr>
          <w:sz w:val="24"/>
          <w:szCs w:val="24"/>
        </w:rPr>
      </w:pPr>
      <w:r>
        <w:rPr>
          <w:sz w:val="24"/>
          <w:szCs w:val="24"/>
        </w:rPr>
        <w:t>Като се има предвид, че:</w:t>
      </w:r>
    </w:p>
    <w:p w:rsidR="00366A51" w:rsidRDefault="006B3823">
      <w:pPr>
        <w:pStyle w:val="ac"/>
        <w:ind w:firstLine="567"/>
        <w:jc w:val="both"/>
      </w:pPr>
      <w:r>
        <w:rPr>
          <w:sz w:val="24"/>
          <w:szCs w:val="24"/>
        </w:rPr>
        <w:t xml:space="preserve">– детайлно описахме престъпната схема за заграбване на 170 милиона евро европейски средства от българската политическа мафия в ОПГ с техните зърнени </w:t>
      </w:r>
      <w:proofErr w:type="spellStart"/>
      <w:r>
        <w:rPr>
          <w:sz w:val="24"/>
          <w:szCs w:val="24"/>
        </w:rPr>
        <w:t>олигарси</w:t>
      </w:r>
      <w:proofErr w:type="spellEnd"/>
      <w:r>
        <w:rPr>
          <w:sz w:val="24"/>
          <w:szCs w:val="24"/>
        </w:rPr>
        <w:t xml:space="preserve"> само за „</w:t>
      </w:r>
      <w:proofErr w:type="spellStart"/>
      <w:r>
        <w:rPr>
          <w:sz w:val="24"/>
          <w:szCs w:val="24"/>
        </w:rPr>
        <w:t>Агроекологични</w:t>
      </w:r>
      <w:proofErr w:type="spellEnd"/>
      <w:r>
        <w:rPr>
          <w:sz w:val="24"/>
          <w:szCs w:val="24"/>
        </w:rPr>
        <w:t xml:space="preserve"> плащания“ за 2013 г.;</w:t>
      </w:r>
    </w:p>
    <w:p w:rsidR="00366A51" w:rsidRDefault="006B3823">
      <w:pPr>
        <w:pStyle w:val="ac"/>
        <w:ind w:firstLine="567"/>
        <w:jc w:val="both"/>
      </w:pPr>
      <w:r>
        <w:rPr>
          <w:sz w:val="24"/>
          <w:szCs w:val="24"/>
        </w:rPr>
        <w:t xml:space="preserve">– предупредихме Ви, че предстои незаконно заграбване на нови 170 милиона евро за 2014 г. по същата схема, </w:t>
      </w:r>
      <w:r>
        <w:rPr>
          <w:b/>
          <w:sz w:val="24"/>
          <w:szCs w:val="24"/>
        </w:rPr>
        <w:t>което вече е факт</w:t>
      </w:r>
      <w:r>
        <w:rPr>
          <w:sz w:val="24"/>
          <w:szCs w:val="24"/>
        </w:rPr>
        <w:t>;</w:t>
      </w:r>
    </w:p>
    <w:p w:rsidR="00366A51" w:rsidRDefault="006B3823">
      <w:pPr>
        <w:pStyle w:val="ac"/>
        <w:ind w:firstLine="567"/>
        <w:jc w:val="both"/>
      </w:pPr>
      <w:r>
        <w:rPr>
          <w:sz w:val="24"/>
          <w:szCs w:val="24"/>
        </w:rPr>
        <w:t xml:space="preserve">– изказахме нашата загриженост относно намеренията на политическата мафия да увеличи грабежа за следващия програмен период на ПРСР до 2020 г., видно от нотификацията за 2014 г. – </w:t>
      </w:r>
      <w:r>
        <w:rPr>
          <w:b/>
          <w:sz w:val="24"/>
          <w:szCs w:val="24"/>
        </w:rPr>
        <w:t>ограбването е</w:t>
      </w:r>
      <w:r>
        <w:rPr>
          <w:sz w:val="24"/>
          <w:szCs w:val="24"/>
        </w:rPr>
        <w:t xml:space="preserve"> </w:t>
      </w:r>
      <w:r>
        <w:rPr>
          <w:b/>
          <w:sz w:val="24"/>
          <w:szCs w:val="24"/>
        </w:rPr>
        <w:t>вече е факт</w:t>
      </w:r>
      <w:r>
        <w:rPr>
          <w:sz w:val="24"/>
          <w:szCs w:val="24"/>
        </w:rPr>
        <w:t>;</w:t>
      </w:r>
    </w:p>
    <w:p w:rsidR="00366A51" w:rsidRDefault="006B3823">
      <w:pPr>
        <w:pStyle w:val="ac"/>
        <w:ind w:firstLine="567"/>
        <w:jc w:val="both"/>
      </w:pPr>
      <w:r>
        <w:rPr>
          <w:sz w:val="24"/>
          <w:szCs w:val="24"/>
        </w:rPr>
        <w:t xml:space="preserve">– изказахме желание ЕК да се разпореди незаконно заграбените европейски средства да бъдат върнати </w:t>
      </w:r>
      <w:r>
        <w:rPr>
          <w:b/>
          <w:sz w:val="24"/>
          <w:szCs w:val="24"/>
        </w:rPr>
        <w:t xml:space="preserve">персонално </w:t>
      </w:r>
      <w:r>
        <w:rPr>
          <w:sz w:val="24"/>
          <w:szCs w:val="24"/>
        </w:rPr>
        <w:t xml:space="preserve">от зърнените </w:t>
      </w:r>
      <w:proofErr w:type="spellStart"/>
      <w:r>
        <w:rPr>
          <w:sz w:val="24"/>
          <w:szCs w:val="24"/>
        </w:rPr>
        <w:t>олигарси</w:t>
      </w:r>
      <w:proofErr w:type="spellEnd"/>
      <w:r>
        <w:rPr>
          <w:sz w:val="24"/>
          <w:szCs w:val="24"/>
        </w:rPr>
        <w:t xml:space="preserve"> и преразпределени по останалите направления на „</w:t>
      </w:r>
      <w:proofErr w:type="spellStart"/>
      <w:r>
        <w:rPr>
          <w:sz w:val="24"/>
          <w:szCs w:val="24"/>
        </w:rPr>
        <w:t>Агроекологични</w:t>
      </w:r>
      <w:proofErr w:type="spellEnd"/>
      <w:r>
        <w:rPr>
          <w:sz w:val="24"/>
          <w:szCs w:val="24"/>
        </w:rPr>
        <w:t xml:space="preserve"> плащания“, с цел да се гарантира реалното развитие на земеделието в страната;</w:t>
      </w:r>
    </w:p>
    <w:p w:rsidR="00366A51" w:rsidRDefault="006B3823">
      <w:pPr>
        <w:pStyle w:val="ac"/>
        <w:ind w:firstLine="567"/>
        <w:jc w:val="both"/>
      </w:pPr>
      <w:r>
        <w:rPr>
          <w:sz w:val="24"/>
          <w:szCs w:val="24"/>
        </w:rPr>
        <w:lastRenderedPageBreak/>
        <w:t xml:space="preserve">– предложихме Ви да направите собствено разследване на явната измама с европейски фондове с Ваши експерти, защото българската ОЛАФ – </w:t>
      </w:r>
      <w:bookmarkStart w:id="0" w:name="__DdeLink__107480_707625652"/>
      <w:r>
        <w:rPr>
          <w:sz w:val="24"/>
          <w:szCs w:val="24"/>
        </w:rPr>
        <w:t>АФКОС</w:t>
      </w:r>
      <w:bookmarkEnd w:id="0"/>
      <w:r>
        <w:rPr>
          <w:sz w:val="24"/>
          <w:szCs w:val="24"/>
        </w:rPr>
        <w:t>, е на пряко подчинение на българската политическа мафия;</w:t>
      </w:r>
    </w:p>
    <w:p w:rsidR="00366A51" w:rsidRDefault="006B3823">
      <w:pPr>
        <w:pStyle w:val="ac"/>
        <w:ind w:firstLine="567"/>
        <w:jc w:val="both"/>
      </w:pPr>
      <w:r>
        <w:rPr>
          <w:sz w:val="24"/>
          <w:szCs w:val="24"/>
        </w:rPr>
        <w:t xml:space="preserve">– не предприехте мерки незаконно заграбените стотици милиони на европейския данъкоплатец да бъдат персонално върнати от закононарушителите. Заради бездействието Ви през 2014 г. 170 милиона евро отново бяха неправомерно разпределени от политическата мафия по </w:t>
      </w:r>
      <w:r>
        <w:t>І стълб,</w:t>
      </w:r>
      <w:r>
        <w:rPr>
          <w:sz w:val="24"/>
          <w:szCs w:val="24"/>
        </w:rPr>
        <w:t xml:space="preserve"> а по </w:t>
      </w:r>
      <w:r>
        <w:t>ІІ стълб –</w:t>
      </w:r>
      <w:r>
        <w:rPr>
          <w:sz w:val="24"/>
          <w:szCs w:val="24"/>
        </w:rPr>
        <w:t xml:space="preserve"> 1,560 милиарда за периода 2007-2013 г. Въпреки предупрежденията сключихте нов престъпен договор за периода 2014-2020 г. на ПРСР, с което повдигате съмнения за участието на ЕК в ОПГ с корумпираната политическа класа в България за нови милиарди евро в тяхна полза.</w:t>
      </w:r>
    </w:p>
    <w:p w:rsidR="00366A51" w:rsidRDefault="006B3823">
      <w:pPr>
        <w:pStyle w:val="ac"/>
        <w:ind w:firstLine="567"/>
        <w:jc w:val="both"/>
      </w:pPr>
      <w:r>
        <w:rPr>
          <w:sz w:val="24"/>
          <w:szCs w:val="24"/>
        </w:rPr>
        <w:t xml:space="preserve">– Нашите твърдения и заключения в сигнала от 2014 г. на 100% се доказаха от доклада на Българската академия на науките за 2016 г.: </w:t>
      </w:r>
      <w:r w:rsidR="00553B0F">
        <w:rPr>
          <w:sz w:val="24"/>
          <w:szCs w:val="24"/>
        </w:rPr>
        <w:t>/</w:t>
      </w:r>
      <w:r w:rsidR="00553B0F" w:rsidRPr="00553B0F">
        <w:rPr>
          <w:b/>
          <w:sz w:val="28"/>
          <w:szCs w:val="28"/>
        </w:rPr>
        <w:t>Приложение 2</w:t>
      </w:r>
      <w:r w:rsidR="00553B0F">
        <w:rPr>
          <w:sz w:val="24"/>
          <w:szCs w:val="24"/>
        </w:rPr>
        <w:t xml:space="preserve">/, </w:t>
      </w:r>
      <w:hyperlink r:id="rId4">
        <w:bookmarkStart w:id="1" w:name="__DdeLink__20196_707625652"/>
        <w:r>
          <w:rPr>
            <w:rStyle w:val="InternetLink"/>
            <w:sz w:val="24"/>
            <w:szCs w:val="24"/>
          </w:rPr>
          <w:t>http://www.iki.bas.bg/files/Doklad_2016_0.pdf</w:t>
        </w:r>
      </w:hyperlink>
      <w:bookmarkEnd w:id="1"/>
      <w:r>
        <w:rPr>
          <w:sz w:val="24"/>
          <w:szCs w:val="24"/>
        </w:rPr>
        <w:t xml:space="preserve">. Обърнете внимание на стр. 155, в която се заключава: </w:t>
      </w:r>
    </w:p>
    <w:p w:rsidR="00366A51" w:rsidRDefault="006B3823">
      <w:pPr>
        <w:pStyle w:val="ac"/>
        <w:ind w:firstLine="567"/>
        <w:jc w:val="both"/>
        <w:rPr>
          <w:sz w:val="24"/>
          <w:szCs w:val="24"/>
        </w:rPr>
      </w:pPr>
      <w:r>
        <w:rPr>
          <w:rFonts w:cs="Calibri"/>
          <w:sz w:val="24"/>
          <w:szCs w:val="24"/>
        </w:rPr>
        <w:t>„</w:t>
      </w:r>
      <w:r>
        <w:rPr>
          <w:sz w:val="24"/>
          <w:szCs w:val="24"/>
        </w:rPr>
        <w:t xml:space="preserve">На практика участието на България в ОСП на ЕС показва: </w:t>
      </w:r>
    </w:p>
    <w:p w:rsidR="00366A51" w:rsidRDefault="006B3823">
      <w:pPr>
        <w:pStyle w:val="ac"/>
        <w:ind w:firstLine="567"/>
        <w:jc w:val="both"/>
        <w:rPr>
          <w:sz w:val="24"/>
          <w:szCs w:val="24"/>
        </w:rPr>
      </w:pPr>
      <w:r>
        <w:rPr>
          <w:sz w:val="24"/>
          <w:szCs w:val="24"/>
        </w:rPr>
        <w:t xml:space="preserve">По І стълб – Директни плащания 2007-2013 г. (75% от субсидията е получена от 3700 физически и юридически лица, които на практика представляват 100 свързани лица). </w:t>
      </w:r>
    </w:p>
    <w:p w:rsidR="00366A51" w:rsidRDefault="006B3823">
      <w:pPr>
        <w:pStyle w:val="ac"/>
        <w:ind w:firstLine="567"/>
        <w:jc w:val="both"/>
        <w:rPr>
          <w:sz w:val="24"/>
          <w:szCs w:val="24"/>
        </w:rPr>
      </w:pPr>
      <w:r>
        <w:rPr>
          <w:sz w:val="24"/>
          <w:szCs w:val="24"/>
        </w:rPr>
        <w:t xml:space="preserve">По ІІ стълб – Развитие на селските райони (от 3242 млн. евро са усвоени около 2609 млн. евро, от тях 67% са усвоени от 100-те свързани лица). </w:t>
      </w:r>
    </w:p>
    <w:p w:rsidR="00366A51" w:rsidRDefault="006B3823">
      <w:pPr>
        <w:pStyle w:val="ac"/>
        <w:ind w:firstLine="567"/>
        <w:jc w:val="both"/>
        <w:rPr>
          <w:sz w:val="24"/>
          <w:szCs w:val="24"/>
        </w:rPr>
      </w:pPr>
      <w:r>
        <w:rPr>
          <w:sz w:val="24"/>
          <w:szCs w:val="24"/>
        </w:rPr>
        <w:t xml:space="preserve">Тези деформации очертават няколко трайни тенденции за последните 20 години: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концентрация на земята и капитала;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оформяне на монопол при арендуването на земеделската земя;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прекъсната връзка между земеделските производители и потребителите;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инвазия на мултинационални търговски вериги;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западащо животновъдство, овощарство, зеленчукопроизводство;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производство на продукция с ниско ниво на добавена стойност, основно зърно и други суровини;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почти напълно преустановено производство на традиционни български храни; </w:t>
      </w:r>
    </w:p>
    <w:p w:rsidR="00366A51" w:rsidRDefault="006B3823">
      <w:pPr>
        <w:pStyle w:val="ac"/>
        <w:ind w:firstLine="567"/>
        <w:jc w:val="both"/>
        <w:rPr>
          <w:sz w:val="24"/>
          <w:szCs w:val="24"/>
        </w:rPr>
      </w:pPr>
      <w:r>
        <w:rPr>
          <w:rFonts w:cs="Calibri"/>
          <w:sz w:val="24"/>
          <w:szCs w:val="24"/>
        </w:rPr>
        <w:t xml:space="preserve">• </w:t>
      </w:r>
      <w:r>
        <w:rPr>
          <w:sz w:val="24"/>
          <w:szCs w:val="24"/>
        </w:rPr>
        <w:t xml:space="preserve">липса на интегриране на земеделското производство и производството на храни с туризма като приоритетен отрасъл. </w:t>
      </w:r>
    </w:p>
    <w:p w:rsidR="00366A51" w:rsidRDefault="006B3823">
      <w:pPr>
        <w:pStyle w:val="ac"/>
        <w:ind w:firstLine="567"/>
        <w:jc w:val="both"/>
      </w:pPr>
      <w:r>
        <w:rPr>
          <w:sz w:val="24"/>
          <w:szCs w:val="24"/>
        </w:rPr>
        <w:t xml:space="preserve">Опростеният отговор е, че това е резултат от ОСП на ЕС и начина на организация и регламентиране на директните плащания по І стълб. Това наистина е логичният отговор, защото ако за </w:t>
      </w:r>
      <w:proofErr w:type="spellStart"/>
      <w:r>
        <w:rPr>
          <w:sz w:val="24"/>
          <w:szCs w:val="24"/>
        </w:rPr>
        <w:t>зърнопроизводството</w:t>
      </w:r>
      <w:proofErr w:type="spellEnd"/>
      <w:r>
        <w:rPr>
          <w:sz w:val="24"/>
          <w:szCs w:val="24"/>
        </w:rPr>
        <w:t xml:space="preserve"> 20 лв. на един дка (средният размер на субсидията на 1 дка земеделска земя) съставлява около 30% от производствените разходи, то при зеленчукопроизводството, овощарството и лозарството тази сума не надвишава 1-2% от разходите за производство. </w:t>
      </w:r>
      <w:r>
        <w:rPr>
          <w:b/>
          <w:sz w:val="24"/>
          <w:szCs w:val="24"/>
        </w:rPr>
        <w:t>Така практически европейската субсидия се превръща в икономически стимул за производство на интензивни култури – зърнени и технически, при огромна концентрация на земята и капитала.</w:t>
      </w:r>
      <w:r>
        <w:rPr>
          <w:sz w:val="24"/>
          <w:szCs w:val="24"/>
        </w:rPr>
        <w:t>“</w:t>
      </w:r>
    </w:p>
    <w:p w:rsidR="00366A51" w:rsidRDefault="006B3823">
      <w:pPr>
        <w:pStyle w:val="ac"/>
        <w:ind w:firstLine="567"/>
        <w:jc w:val="both"/>
      </w:pPr>
      <w:r>
        <w:rPr>
          <w:rFonts w:cs="Calibri"/>
          <w:color w:val="333333"/>
          <w:sz w:val="24"/>
          <w:szCs w:val="24"/>
          <w:shd w:val="clear" w:color="auto" w:fill="FFFFFF"/>
        </w:rPr>
        <w:t>– „</w:t>
      </w:r>
      <w:bookmarkStart w:id="2" w:name="__DdeLink__20343_707625652"/>
      <w:r>
        <w:rPr>
          <w:color w:val="333333"/>
          <w:sz w:val="24"/>
          <w:szCs w:val="24"/>
          <w:shd w:val="clear" w:color="auto" w:fill="FFFFFF"/>
        </w:rPr>
        <w:t>С писмо от 29.04.2016 г. на дирекция</w:t>
      </w:r>
      <w:bookmarkEnd w:id="2"/>
      <w:r>
        <w:rPr>
          <w:color w:val="333333"/>
          <w:sz w:val="24"/>
          <w:szCs w:val="24"/>
          <w:shd w:val="clear" w:color="auto" w:fill="FFFFFF"/>
        </w:rPr>
        <w:t xml:space="preserve"> „Одит“ на Главна дирекция за земеделие и селскостопанско развитие на ЕК, Министерство на земеделието и храните (МЗХ) и Държавен фонд „Земеделие“ (ДФЗ), в качеството му на Разплащателна агенция по Програмата за развитие на селските райони (ПРСР), са уведомени, че разходите, направени по ПРСР за 2015 г., не могат засега да бъдат признати за финансиране от фондовете на ЕС по ред причини, пораждащи съмнения, че разходите може да не са направени в съответствие с правилата на ЕС.“ </w:t>
      </w:r>
      <w:r>
        <w:rPr>
          <w:b/>
          <w:color w:val="333333"/>
          <w:sz w:val="24"/>
          <w:szCs w:val="24"/>
          <w:shd w:val="clear" w:color="auto" w:fill="FFFFFF"/>
        </w:rPr>
        <w:t>Което означава, че българският данъкоплатец ще плати за престъпленията на политическата мафия.</w:t>
      </w:r>
    </w:p>
    <w:p w:rsidR="00366A51" w:rsidRDefault="00366A51">
      <w:pPr>
        <w:pStyle w:val="ac"/>
        <w:ind w:firstLine="567"/>
        <w:jc w:val="both"/>
        <w:rPr>
          <w:sz w:val="24"/>
          <w:szCs w:val="24"/>
        </w:rPr>
      </w:pPr>
    </w:p>
    <w:p w:rsidR="00366A51" w:rsidRDefault="006B3823">
      <w:pPr>
        <w:pStyle w:val="ac"/>
        <w:ind w:firstLine="567"/>
        <w:jc w:val="both"/>
      </w:pPr>
      <w:r>
        <w:rPr>
          <w:sz w:val="24"/>
          <w:szCs w:val="24"/>
        </w:rPr>
        <w:t xml:space="preserve">Заявяваме нашето възмущение от Вашата безотговорност, с която милиарди евро на европейските данъкоплатци се използват за обогатяване на политическата върхушка в България, а страната се задъхва от корупция, безработица, бедност и безперспективност. Вашето престъпно бездействие, госпожи и господа от ОЛАФ и ЕК, помогна на нашата политическа мафия трайно да увеличи грабежа на средствата, спестени от обикновения данъкоплатец в Европа. Вашата престъпна политика доведе до пълен крах на земеделието и превърна България единствено в </w:t>
      </w:r>
      <w:proofErr w:type="spellStart"/>
      <w:r>
        <w:rPr>
          <w:sz w:val="24"/>
          <w:szCs w:val="24"/>
        </w:rPr>
        <w:t>зърноизносител</w:t>
      </w:r>
      <w:proofErr w:type="spellEnd"/>
      <w:r>
        <w:rPr>
          <w:sz w:val="24"/>
          <w:szCs w:val="24"/>
        </w:rPr>
        <w:t xml:space="preserve">, като обрича стотици хиляди земеделци на безработица и мизерия. </w:t>
      </w:r>
      <w:proofErr w:type="spellStart"/>
      <w:r>
        <w:rPr>
          <w:b/>
          <w:sz w:val="24"/>
          <w:szCs w:val="24"/>
        </w:rPr>
        <w:t>Безхаберието</w:t>
      </w:r>
      <w:proofErr w:type="spellEnd"/>
      <w:r>
        <w:rPr>
          <w:b/>
          <w:sz w:val="24"/>
          <w:szCs w:val="24"/>
        </w:rPr>
        <w:t xml:space="preserve"> и безотговорността си, госпожи и господа от ОЛАФ и ЕК, стоварвате на гърба на бедния български народ, който да плаща санкциите от 1,1 милиарда евро за неспазване на правилата на ЕС, за което Вие сте отговорни не по-малко от българската политическа мафия</w:t>
      </w:r>
      <w:r>
        <w:rPr>
          <w:sz w:val="24"/>
          <w:szCs w:val="24"/>
        </w:rPr>
        <w:t>.</w:t>
      </w:r>
    </w:p>
    <w:p w:rsidR="00366A51" w:rsidRDefault="006B3823">
      <w:pPr>
        <w:pStyle w:val="ac"/>
        <w:ind w:firstLine="567"/>
        <w:jc w:val="both"/>
      </w:pPr>
      <w:r>
        <w:rPr>
          <w:sz w:val="24"/>
          <w:szCs w:val="24"/>
        </w:rPr>
        <w:t xml:space="preserve">Остава впечатлението, че Вашето действие и бездействие не е породено от некадърност и мързел, а е преднамерено, защото ЕК явно цели корумпиране на българската политическа класа, с цел властта да води вредна за страната външна и вътрешна политика в полза на големите световни корпорации, контролирани от САЩ. Примерите са много и известни на цял свят: българските политици са най-ревностни и инициативни в ЕС за прокарването на вредни за европееца политики като ТПТИ /в полза на американските корпорации, поддържани от ЕК/; помощ за явно терористични групировки като ИДИЛ и </w:t>
      </w:r>
      <w:proofErr w:type="spellStart"/>
      <w:r>
        <w:rPr>
          <w:sz w:val="24"/>
          <w:szCs w:val="24"/>
        </w:rPr>
        <w:t>Майдана</w:t>
      </w:r>
      <w:proofErr w:type="spellEnd"/>
      <w:r>
        <w:rPr>
          <w:sz w:val="24"/>
          <w:szCs w:val="24"/>
        </w:rPr>
        <w:t xml:space="preserve"> /създадени от САЩ и поддържани от ЕК/; предлагане на антиевропейски решения за терористи, представящи се за бежанци и унищожаващи християнска Европа; искане за продължаване на вредните за Европа санкции срещу Русия и противостоене на опитите за разбирателство и мир; създаване на явни войнолюбиви настроения за разпалване на Трета световна война и вкарване на България и Европа в нея в полза единствено на американските корпорации. Вътрешната </w:t>
      </w:r>
      <w:proofErr w:type="spellStart"/>
      <w:r>
        <w:rPr>
          <w:sz w:val="24"/>
          <w:szCs w:val="24"/>
        </w:rPr>
        <w:t>антибългарска</w:t>
      </w:r>
      <w:proofErr w:type="spellEnd"/>
      <w:r>
        <w:rPr>
          <w:sz w:val="24"/>
          <w:szCs w:val="24"/>
        </w:rPr>
        <w:t xml:space="preserve"> политика, водена от правителствата в страната през последните 26 „демократични“ години, вероятно също е „кредитирана“ от европейския данъкоплатец след 2007 г. под давление на ЕК и управляващите я мултинационални корпорации от САЩ: споменаваме само безобразните „златни“ концесии, сключени и продължавани за 99% от добитото злато, мед, редки и разсеяни елементи за 2 милиарда долара грабеж на година под давление на МВФ и обогатяващи чужди корпорации; планираното и проведено унищожение на родните мощности за преработка на същите добивани суровини до крайни продукти, довело до 300 000 души безработни само в този отрасъл; десет милиарда евро, изнасяни всяка година от чуждите търговски вериги, унищожаващи дребните и средни производители и търговци в страната.</w:t>
      </w:r>
    </w:p>
    <w:p w:rsidR="00366A51" w:rsidRDefault="006B3823">
      <w:pPr>
        <w:pStyle w:val="ac"/>
        <w:ind w:firstLine="567"/>
        <w:jc w:val="both"/>
      </w:pPr>
      <w:r>
        <w:rPr>
          <w:sz w:val="24"/>
          <w:szCs w:val="24"/>
        </w:rPr>
        <w:t xml:space="preserve">За съжаление, многобройните факти и улики сочат, че за гореописаните престъпни политики на българската политическа мафия, Вие, госпожи и господа от ЕК, след 2007 г. плащате чрез парите на европейците. </w:t>
      </w:r>
      <w:r>
        <w:rPr>
          <w:b/>
          <w:sz w:val="24"/>
          <w:szCs w:val="24"/>
        </w:rPr>
        <w:t xml:space="preserve">Та нали ЕК разписа ПРСР за 2014-2020 г. въпреки нашите доказателства и предупреждения за заложените грабежи, а сега Вие налагате санкции не на политиците и техните </w:t>
      </w:r>
      <w:proofErr w:type="spellStart"/>
      <w:r>
        <w:rPr>
          <w:b/>
          <w:sz w:val="24"/>
          <w:szCs w:val="24"/>
        </w:rPr>
        <w:t>олигарси</w:t>
      </w:r>
      <w:proofErr w:type="spellEnd"/>
      <w:r>
        <w:rPr>
          <w:b/>
          <w:sz w:val="24"/>
          <w:szCs w:val="24"/>
        </w:rPr>
        <w:t>, а на обикновения българин, европейски данъкоплатец?</w:t>
      </w:r>
    </w:p>
    <w:p w:rsidR="00366A51" w:rsidRDefault="00366A51">
      <w:pPr>
        <w:pStyle w:val="ac"/>
        <w:ind w:firstLine="567"/>
        <w:jc w:val="both"/>
        <w:rPr>
          <w:sz w:val="24"/>
          <w:szCs w:val="24"/>
        </w:rPr>
      </w:pPr>
    </w:p>
    <w:p w:rsidR="00366A51" w:rsidRDefault="006B3823">
      <w:pPr>
        <w:pStyle w:val="ac"/>
        <w:ind w:firstLine="567"/>
        <w:jc w:val="both"/>
      </w:pPr>
      <w:r>
        <w:rPr>
          <w:sz w:val="24"/>
          <w:szCs w:val="24"/>
        </w:rPr>
        <w:tab/>
        <w:t xml:space="preserve">Настояваме да извършите незабавна проверка на нашия сигнал от 2014 г., както и проверка на доклада на БАН, и в най-бързи срокове да си изпълните задълженията към нас, европейските данъкоплатци, защото ние плащаме заплатите Ви. Намерението </w:t>
      </w:r>
      <w:r>
        <w:rPr>
          <w:sz w:val="24"/>
          <w:szCs w:val="24"/>
        </w:rPr>
        <w:lastRenderedPageBreak/>
        <w:t xml:space="preserve">Ви да санкционирате отрудените дребни земеделци и обикновени хора в България заради Ваша престъпна политика, сякаш създадена в ОПГ с българската политическа мафия, е висша форма на лицемерие и нисък морал. Предлагаме Ви да санкционирате поименно </w:t>
      </w:r>
      <w:proofErr w:type="spellStart"/>
      <w:r>
        <w:rPr>
          <w:sz w:val="24"/>
          <w:szCs w:val="24"/>
        </w:rPr>
        <w:t>престъпниците</w:t>
      </w:r>
      <w:proofErr w:type="spellEnd"/>
      <w:r>
        <w:rPr>
          <w:sz w:val="24"/>
          <w:szCs w:val="24"/>
        </w:rPr>
        <w:t xml:space="preserve">, заграбили </w:t>
      </w:r>
      <w:proofErr w:type="spellStart"/>
      <w:r>
        <w:rPr>
          <w:sz w:val="24"/>
          <w:szCs w:val="24"/>
        </w:rPr>
        <w:t>еврофондовете</w:t>
      </w:r>
      <w:proofErr w:type="spellEnd"/>
      <w:r>
        <w:rPr>
          <w:sz w:val="24"/>
          <w:szCs w:val="24"/>
        </w:rPr>
        <w:t>, защото иначе един ден ние, обикновените европейски граждани, ще санкционираме вас.</w:t>
      </w:r>
    </w:p>
    <w:p w:rsidR="00366A51" w:rsidRDefault="00366A51">
      <w:pPr>
        <w:pStyle w:val="20"/>
        <w:spacing w:after="0" w:line="240" w:lineRule="auto"/>
        <w:ind w:left="0" w:firstLine="567"/>
        <w:rPr>
          <w:sz w:val="24"/>
          <w:szCs w:val="24"/>
        </w:rPr>
      </w:pPr>
    </w:p>
    <w:p w:rsidR="00366A51" w:rsidRDefault="006B3823">
      <w:pPr>
        <w:pStyle w:val="20"/>
        <w:ind w:left="1416" w:firstLine="708"/>
        <w:rPr>
          <w:sz w:val="24"/>
          <w:szCs w:val="24"/>
        </w:rPr>
      </w:pPr>
      <w:r>
        <w:rPr>
          <w:sz w:val="24"/>
          <w:szCs w:val="24"/>
        </w:rPr>
        <w:t>Без уважение: Константин Дичев</w:t>
      </w:r>
    </w:p>
    <w:p w:rsidR="00366A51" w:rsidRDefault="006B3823">
      <w:pPr>
        <w:pStyle w:val="af0"/>
        <w:ind w:left="3462" w:firstLine="210"/>
        <w:rPr>
          <w:sz w:val="24"/>
          <w:szCs w:val="24"/>
        </w:rPr>
      </w:pPr>
      <w:r>
        <w:rPr>
          <w:sz w:val="24"/>
          <w:szCs w:val="24"/>
        </w:rPr>
        <w:t>ГД БОПП</w:t>
      </w:r>
    </w:p>
    <w:p w:rsidR="00366A51" w:rsidRDefault="006B3823">
      <w:pPr>
        <w:pStyle w:val="af0"/>
        <w:ind w:left="3462" w:firstLine="210"/>
        <w:rPr>
          <w:sz w:val="24"/>
          <w:szCs w:val="24"/>
        </w:rPr>
      </w:pPr>
      <w:r>
        <w:rPr>
          <w:sz w:val="24"/>
          <w:szCs w:val="24"/>
        </w:rPr>
        <w:t>Управление на природни ресурси</w:t>
      </w:r>
    </w:p>
    <w:p w:rsidR="00366A51" w:rsidRDefault="006B3823">
      <w:pPr>
        <w:pStyle w:val="af0"/>
        <w:ind w:left="3462" w:firstLine="210"/>
      </w:pPr>
      <w:r>
        <w:rPr>
          <w:sz w:val="24"/>
          <w:szCs w:val="24"/>
        </w:rPr>
        <w:t>ул. „Капитан Петко“, с. Плевун, община Ивайловград</w:t>
      </w:r>
    </w:p>
    <w:p w:rsidR="00366A51" w:rsidRDefault="006B3823">
      <w:pPr>
        <w:pStyle w:val="af0"/>
        <w:ind w:left="3462" w:firstLine="210"/>
        <w:rPr>
          <w:sz w:val="24"/>
          <w:szCs w:val="24"/>
        </w:rPr>
      </w:pPr>
      <w:r>
        <w:rPr>
          <w:sz w:val="24"/>
          <w:szCs w:val="24"/>
        </w:rPr>
        <w:t>тел. 0886 96 65 83</w:t>
      </w:r>
    </w:p>
    <w:p w:rsidR="00366A51" w:rsidRDefault="006B3823">
      <w:pPr>
        <w:pStyle w:val="af0"/>
        <w:ind w:left="3462" w:firstLine="210"/>
        <w:rPr>
          <w:sz w:val="24"/>
          <w:szCs w:val="24"/>
        </w:rPr>
      </w:pPr>
      <w:proofErr w:type="spellStart"/>
      <w:r>
        <w:rPr>
          <w:sz w:val="24"/>
          <w:szCs w:val="24"/>
        </w:rPr>
        <w:t>email</w:t>
      </w:r>
      <w:proofErr w:type="spellEnd"/>
      <w:r>
        <w:rPr>
          <w:sz w:val="24"/>
          <w:szCs w:val="24"/>
        </w:rPr>
        <w:t xml:space="preserve">: kdichev@gmail.com </w:t>
      </w:r>
    </w:p>
    <w:p w:rsidR="00366A51" w:rsidRDefault="00366A51">
      <w:pPr>
        <w:pStyle w:val="af0"/>
        <w:ind w:left="4673" w:firstLine="210"/>
      </w:pPr>
    </w:p>
    <w:sectPr w:rsidR="00366A51" w:rsidSect="00366A51">
      <w:pgSz w:w="11906" w:h="16838"/>
      <w:pgMar w:top="1417" w:right="1417" w:bottom="1417" w:left="1417"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WenQuanYi Zen Hei">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66A51"/>
    <w:rsid w:val="000110E7"/>
    <w:rsid w:val="00366A51"/>
    <w:rsid w:val="003D36F6"/>
    <w:rsid w:val="00553B0F"/>
    <w:rsid w:val="006B3823"/>
    <w:rsid w:val="00ED36E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51"/>
    <w:pPr>
      <w:spacing w:after="200" w:line="276" w:lineRule="auto"/>
    </w:pPr>
    <w:rPr>
      <w:rFonts w:ascii="Calibri" w:eastAsia="Calibri" w:hAnsi="Calibri" w:cs="Times New Roman"/>
      <w:color w:val="00000A"/>
      <w:sz w:val="22"/>
      <w:szCs w:val="22"/>
      <w:lang w:val="bg-B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366A51"/>
  </w:style>
  <w:style w:type="character" w:customStyle="1" w:styleId="WW8Num1z1">
    <w:name w:val="WW8Num1z1"/>
    <w:qFormat/>
    <w:rsid w:val="00366A51"/>
  </w:style>
  <w:style w:type="character" w:customStyle="1" w:styleId="WW8Num1z2">
    <w:name w:val="WW8Num1z2"/>
    <w:qFormat/>
    <w:rsid w:val="00366A51"/>
  </w:style>
  <w:style w:type="character" w:customStyle="1" w:styleId="WW8Num1z3">
    <w:name w:val="WW8Num1z3"/>
    <w:qFormat/>
    <w:rsid w:val="00366A51"/>
  </w:style>
  <w:style w:type="character" w:customStyle="1" w:styleId="WW8Num1z4">
    <w:name w:val="WW8Num1z4"/>
    <w:qFormat/>
    <w:rsid w:val="00366A51"/>
  </w:style>
  <w:style w:type="character" w:customStyle="1" w:styleId="WW8Num1z5">
    <w:name w:val="WW8Num1z5"/>
    <w:qFormat/>
    <w:rsid w:val="00366A51"/>
  </w:style>
  <w:style w:type="character" w:customStyle="1" w:styleId="WW8Num1z6">
    <w:name w:val="WW8Num1z6"/>
    <w:qFormat/>
    <w:rsid w:val="00366A51"/>
  </w:style>
  <w:style w:type="character" w:customStyle="1" w:styleId="WW8Num1z7">
    <w:name w:val="WW8Num1z7"/>
    <w:qFormat/>
    <w:rsid w:val="00366A51"/>
  </w:style>
  <w:style w:type="character" w:customStyle="1" w:styleId="WW8Num1z8">
    <w:name w:val="WW8Num1z8"/>
    <w:qFormat/>
    <w:rsid w:val="00366A51"/>
  </w:style>
  <w:style w:type="character" w:customStyle="1" w:styleId="WW8Num2z0">
    <w:name w:val="WW8Num2z0"/>
    <w:qFormat/>
    <w:rsid w:val="00366A51"/>
    <w:rPr>
      <w:rFonts w:ascii="Calibri" w:hAnsi="Calibri" w:cs="Times New Roman"/>
      <w:color w:val="333333"/>
      <w:sz w:val="24"/>
      <w:szCs w:val="24"/>
      <w:shd w:val="clear" w:color="auto" w:fill="FFFFFF"/>
    </w:rPr>
  </w:style>
  <w:style w:type="character" w:customStyle="1" w:styleId="WW8Num2z1">
    <w:name w:val="WW8Num2z1"/>
    <w:qFormat/>
    <w:rsid w:val="00366A51"/>
    <w:rPr>
      <w:rFonts w:ascii="Courier New" w:hAnsi="Courier New" w:cs="Courier New"/>
    </w:rPr>
  </w:style>
  <w:style w:type="character" w:customStyle="1" w:styleId="WW8Num2z2">
    <w:name w:val="WW8Num2z2"/>
    <w:qFormat/>
    <w:rsid w:val="00366A51"/>
    <w:rPr>
      <w:rFonts w:ascii="Wingdings" w:hAnsi="Wingdings" w:cs="Wingdings"/>
    </w:rPr>
  </w:style>
  <w:style w:type="character" w:customStyle="1" w:styleId="WW8Num2z3">
    <w:name w:val="WW8Num2z3"/>
    <w:qFormat/>
    <w:rsid w:val="00366A51"/>
    <w:rPr>
      <w:rFonts w:ascii="Symbol" w:hAnsi="Symbol" w:cs="Symbol"/>
    </w:rPr>
  </w:style>
  <w:style w:type="character" w:styleId="a3">
    <w:name w:val="annotation reference"/>
    <w:basedOn w:val="a0"/>
    <w:qFormat/>
    <w:rsid w:val="00366A51"/>
    <w:rPr>
      <w:rFonts w:cs="Times New Roman"/>
      <w:sz w:val="16"/>
      <w:szCs w:val="16"/>
    </w:rPr>
  </w:style>
  <w:style w:type="character" w:customStyle="1" w:styleId="a4">
    <w:name w:val="Текст на коментар Знак"/>
    <w:basedOn w:val="a0"/>
    <w:qFormat/>
    <w:rsid w:val="00366A51"/>
    <w:rPr>
      <w:rFonts w:cs="Times New Roman"/>
      <w:sz w:val="20"/>
      <w:szCs w:val="20"/>
    </w:rPr>
  </w:style>
  <w:style w:type="character" w:customStyle="1" w:styleId="a5">
    <w:name w:val="Предмет на коментар Знак"/>
    <w:basedOn w:val="a4"/>
    <w:qFormat/>
    <w:rsid w:val="00366A51"/>
    <w:rPr>
      <w:b/>
      <w:bCs/>
    </w:rPr>
  </w:style>
  <w:style w:type="character" w:customStyle="1" w:styleId="a6">
    <w:name w:val="Изнесен текст Знак"/>
    <w:basedOn w:val="a0"/>
    <w:qFormat/>
    <w:rsid w:val="00366A51"/>
    <w:rPr>
      <w:rFonts w:ascii="Tahoma" w:hAnsi="Tahoma" w:cs="Tahoma"/>
      <w:sz w:val="16"/>
      <w:szCs w:val="16"/>
    </w:rPr>
  </w:style>
  <w:style w:type="character" w:customStyle="1" w:styleId="StrongEmphasis">
    <w:name w:val="Strong Emphasis"/>
    <w:basedOn w:val="a0"/>
    <w:qFormat/>
    <w:rsid w:val="00366A51"/>
    <w:rPr>
      <w:rFonts w:cs="Times New Roman"/>
      <w:b/>
      <w:bCs/>
    </w:rPr>
  </w:style>
  <w:style w:type="character" w:customStyle="1" w:styleId="a7">
    <w:name w:val="Основен текст Знак"/>
    <w:basedOn w:val="a0"/>
    <w:qFormat/>
    <w:rsid w:val="00366A51"/>
    <w:rPr>
      <w:rFonts w:cs="Times New Roman"/>
    </w:rPr>
  </w:style>
  <w:style w:type="character" w:customStyle="1" w:styleId="a8">
    <w:name w:val="Основен текст отстъп първи ред Знак"/>
    <w:basedOn w:val="a7"/>
    <w:qFormat/>
    <w:rsid w:val="00366A51"/>
  </w:style>
  <w:style w:type="character" w:customStyle="1" w:styleId="a9">
    <w:name w:val="Основен текст с отстъп Знак"/>
    <w:basedOn w:val="a0"/>
    <w:qFormat/>
    <w:rsid w:val="00366A51"/>
    <w:rPr>
      <w:rFonts w:cs="Times New Roman"/>
    </w:rPr>
  </w:style>
  <w:style w:type="character" w:customStyle="1" w:styleId="2">
    <w:name w:val="Основен текст отстъп първи ред 2 Знак"/>
    <w:basedOn w:val="a9"/>
    <w:qFormat/>
    <w:rsid w:val="00366A51"/>
  </w:style>
  <w:style w:type="character" w:customStyle="1" w:styleId="apple-converted-space">
    <w:name w:val="apple-converted-space"/>
    <w:basedOn w:val="a0"/>
    <w:qFormat/>
    <w:rsid w:val="00366A51"/>
    <w:rPr>
      <w:rFonts w:cs="Times New Roman"/>
    </w:rPr>
  </w:style>
  <w:style w:type="character" w:customStyle="1" w:styleId="InternetLink">
    <w:name w:val="Internet Link"/>
    <w:basedOn w:val="a0"/>
    <w:rsid w:val="00366A51"/>
    <w:rPr>
      <w:color w:val="0000FF"/>
      <w:u w:val="single"/>
    </w:rPr>
  </w:style>
  <w:style w:type="character" w:customStyle="1" w:styleId="ListLabel1">
    <w:name w:val="ListLabel 1"/>
    <w:qFormat/>
    <w:rsid w:val="00366A51"/>
    <w:rPr>
      <w:rFonts w:eastAsia="Calibri" w:cs="Times New Roman"/>
    </w:rPr>
  </w:style>
  <w:style w:type="character" w:customStyle="1" w:styleId="ListLabel2">
    <w:name w:val="ListLabel 2"/>
    <w:qFormat/>
    <w:rsid w:val="00366A51"/>
    <w:rPr>
      <w:rFonts w:cs="Courier New"/>
    </w:rPr>
  </w:style>
  <w:style w:type="character" w:customStyle="1" w:styleId="ListLabel3">
    <w:name w:val="ListLabel 3"/>
    <w:qFormat/>
    <w:rsid w:val="00366A51"/>
    <w:rPr>
      <w:rFonts w:cs="Courier New"/>
    </w:rPr>
  </w:style>
  <w:style w:type="character" w:customStyle="1" w:styleId="ListLabel4">
    <w:name w:val="ListLabel 4"/>
    <w:qFormat/>
    <w:rsid w:val="00366A51"/>
    <w:rPr>
      <w:rFonts w:cs="Courier New"/>
    </w:rPr>
  </w:style>
  <w:style w:type="character" w:customStyle="1" w:styleId="ListLabel5">
    <w:name w:val="ListLabel 5"/>
    <w:qFormat/>
    <w:rsid w:val="00366A51"/>
    <w:rPr>
      <w:rFonts w:eastAsia="Calibri" w:cs="Times New Roman"/>
      <w:color w:val="333333"/>
    </w:rPr>
  </w:style>
  <w:style w:type="character" w:customStyle="1" w:styleId="ListLabel6">
    <w:name w:val="ListLabel 6"/>
    <w:qFormat/>
    <w:rsid w:val="00366A51"/>
    <w:rPr>
      <w:rFonts w:cs="Courier New"/>
    </w:rPr>
  </w:style>
  <w:style w:type="character" w:customStyle="1" w:styleId="ListLabel7">
    <w:name w:val="ListLabel 7"/>
    <w:qFormat/>
    <w:rsid w:val="00366A51"/>
    <w:rPr>
      <w:rFonts w:cs="Courier New"/>
    </w:rPr>
  </w:style>
  <w:style w:type="character" w:customStyle="1" w:styleId="ListLabel8">
    <w:name w:val="ListLabel 8"/>
    <w:qFormat/>
    <w:rsid w:val="00366A51"/>
    <w:rPr>
      <w:rFonts w:cs="Courier New"/>
    </w:rPr>
  </w:style>
  <w:style w:type="character" w:customStyle="1" w:styleId="ListLabel9">
    <w:name w:val="ListLabel 9"/>
    <w:qFormat/>
    <w:rsid w:val="00366A51"/>
    <w:rPr>
      <w:rFonts w:eastAsia="Calibri" w:cs="Times New Roman"/>
      <w:b/>
      <w:color w:val="333333"/>
      <w:sz w:val="24"/>
    </w:rPr>
  </w:style>
  <w:style w:type="character" w:customStyle="1" w:styleId="ListLabel10">
    <w:name w:val="ListLabel 10"/>
    <w:qFormat/>
    <w:rsid w:val="00366A51"/>
    <w:rPr>
      <w:rFonts w:cs="Courier New"/>
    </w:rPr>
  </w:style>
  <w:style w:type="character" w:customStyle="1" w:styleId="ListLabel11">
    <w:name w:val="ListLabel 11"/>
    <w:qFormat/>
    <w:rsid w:val="00366A51"/>
    <w:rPr>
      <w:rFonts w:cs="Courier New"/>
    </w:rPr>
  </w:style>
  <w:style w:type="character" w:customStyle="1" w:styleId="ListLabel12">
    <w:name w:val="ListLabel 12"/>
    <w:qFormat/>
    <w:rsid w:val="00366A51"/>
    <w:rPr>
      <w:rFonts w:cs="Courier New"/>
    </w:rPr>
  </w:style>
  <w:style w:type="character" w:customStyle="1" w:styleId="ListLabel13">
    <w:name w:val="ListLabel 13"/>
    <w:qFormat/>
    <w:rsid w:val="00366A51"/>
    <w:rPr>
      <w:rFonts w:cs="Times New Roman"/>
      <w:b/>
      <w:color w:val="333333"/>
      <w:sz w:val="24"/>
    </w:rPr>
  </w:style>
  <w:style w:type="character" w:customStyle="1" w:styleId="ListLabel14">
    <w:name w:val="ListLabel 14"/>
    <w:qFormat/>
    <w:rsid w:val="00366A51"/>
    <w:rPr>
      <w:rFonts w:cs="Courier New"/>
    </w:rPr>
  </w:style>
  <w:style w:type="character" w:customStyle="1" w:styleId="ListLabel15">
    <w:name w:val="ListLabel 15"/>
    <w:qFormat/>
    <w:rsid w:val="00366A51"/>
    <w:rPr>
      <w:rFonts w:cs="Wingdings"/>
    </w:rPr>
  </w:style>
  <w:style w:type="character" w:customStyle="1" w:styleId="ListLabel16">
    <w:name w:val="ListLabel 16"/>
    <w:qFormat/>
    <w:rsid w:val="00366A51"/>
    <w:rPr>
      <w:rFonts w:cs="Symbol"/>
    </w:rPr>
  </w:style>
  <w:style w:type="character" w:customStyle="1" w:styleId="ListLabel17">
    <w:name w:val="ListLabel 17"/>
    <w:qFormat/>
    <w:rsid w:val="00366A51"/>
    <w:rPr>
      <w:rFonts w:cs="Courier New"/>
    </w:rPr>
  </w:style>
  <w:style w:type="character" w:customStyle="1" w:styleId="ListLabel18">
    <w:name w:val="ListLabel 18"/>
    <w:qFormat/>
    <w:rsid w:val="00366A51"/>
    <w:rPr>
      <w:rFonts w:cs="Wingdings"/>
    </w:rPr>
  </w:style>
  <w:style w:type="character" w:customStyle="1" w:styleId="ListLabel19">
    <w:name w:val="ListLabel 19"/>
    <w:qFormat/>
    <w:rsid w:val="00366A51"/>
    <w:rPr>
      <w:rFonts w:cs="Symbol"/>
    </w:rPr>
  </w:style>
  <w:style w:type="character" w:customStyle="1" w:styleId="ListLabel20">
    <w:name w:val="ListLabel 20"/>
    <w:qFormat/>
    <w:rsid w:val="00366A51"/>
    <w:rPr>
      <w:rFonts w:cs="Courier New"/>
    </w:rPr>
  </w:style>
  <w:style w:type="character" w:customStyle="1" w:styleId="ListLabel21">
    <w:name w:val="ListLabel 21"/>
    <w:qFormat/>
    <w:rsid w:val="00366A51"/>
    <w:rPr>
      <w:rFonts w:cs="Wingdings"/>
    </w:rPr>
  </w:style>
  <w:style w:type="character" w:customStyle="1" w:styleId="ListLabel22">
    <w:name w:val="ListLabel 22"/>
    <w:qFormat/>
    <w:rsid w:val="00366A51"/>
    <w:rPr>
      <w:rFonts w:cs="Times New Roman"/>
      <w:b/>
      <w:color w:val="333333"/>
      <w:sz w:val="24"/>
      <w:szCs w:val="24"/>
      <w:highlight w:val="white"/>
    </w:rPr>
  </w:style>
  <w:style w:type="character" w:customStyle="1" w:styleId="ListLabel23">
    <w:name w:val="ListLabel 23"/>
    <w:qFormat/>
    <w:rsid w:val="00366A51"/>
    <w:rPr>
      <w:rFonts w:cs="Courier New"/>
    </w:rPr>
  </w:style>
  <w:style w:type="character" w:customStyle="1" w:styleId="ListLabel24">
    <w:name w:val="ListLabel 24"/>
    <w:qFormat/>
    <w:rsid w:val="00366A51"/>
    <w:rPr>
      <w:rFonts w:cs="Wingdings"/>
    </w:rPr>
  </w:style>
  <w:style w:type="character" w:customStyle="1" w:styleId="ListLabel25">
    <w:name w:val="ListLabel 25"/>
    <w:qFormat/>
    <w:rsid w:val="00366A51"/>
    <w:rPr>
      <w:rFonts w:cs="Symbol"/>
    </w:rPr>
  </w:style>
  <w:style w:type="character" w:customStyle="1" w:styleId="ListLabel26">
    <w:name w:val="ListLabel 26"/>
    <w:qFormat/>
    <w:rsid w:val="00366A51"/>
    <w:rPr>
      <w:rFonts w:cs="Courier New"/>
    </w:rPr>
  </w:style>
  <w:style w:type="character" w:customStyle="1" w:styleId="ListLabel27">
    <w:name w:val="ListLabel 27"/>
    <w:qFormat/>
    <w:rsid w:val="00366A51"/>
    <w:rPr>
      <w:rFonts w:cs="Wingdings"/>
    </w:rPr>
  </w:style>
  <w:style w:type="character" w:customStyle="1" w:styleId="ListLabel28">
    <w:name w:val="ListLabel 28"/>
    <w:qFormat/>
    <w:rsid w:val="00366A51"/>
    <w:rPr>
      <w:rFonts w:cs="Symbol"/>
    </w:rPr>
  </w:style>
  <w:style w:type="character" w:customStyle="1" w:styleId="ListLabel29">
    <w:name w:val="ListLabel 29"/>
    <w:qFormat/>
    <w:rsid w:val="00366A51"/>
    <w:rPr>
      <w:rFonts w:cs="Courier New"/>
    </w:rPr>
  </w:style>
  <w:style w:type="character" w:customStyle="1" w:styleId="ListLabel30">
    <w:name w:val="ListLabel 30"/>
    <w:qFormat/>
    <w:rsid w:val="00366A51"/>
    <w:rPr>
      <w:rFonts w:cs="Wingdings"/>
    </w:rPr>
  </w:style>
  <w:style w:type="paragraph" w:customStyle="1" w:styleId="Heading">
    <w:name w:val="Heading"/>
    <w:basedOn w:val="a"/>
    <w:next w:val="aa"/>
    <w:qFormat/>
    <w:rsid w:val="00366A51"/>
    <w:pPr>
      <w:keepNext/>
      <w:spacing w:before="240" w:after="120"/>
    </w:pPr>
    <w:rPr>
      <w:rFonts w:ascii="Liberation Sans;Arial" w:eastAsia="WenQuanYi Zen Hei" w:hAnsi="Liberation Sans;Arial" w:cs="FreeSans;Times New Roman"/>
      <w:sz w:val="28"/>
      <w:szCs w:val="28"/>
    </w:rPr>
  </w:style>
  <w:style w:type="paragraph" w:styleId="aa">
    <w:name w:val="Body Text"/>
    <w:basedOn w:val="a"/>
    <w:rsid w:val="00366A51"/>
    <w:pPr>
      <w:spacing w:after="120"/>
    </w:pPr>
  </w:style>
  <w:style w:type="paragraph" w:styleId="ab">
    <w:name w:val="List"/>
    <w:basedOn w:val="aa"/>
    <w:rsid w:val="00366A51"/>
    <w:rPr>
      <w:rFonts w:cs="FreeSans;Times New Roman"/>
    </w:rPr>
  </w:style>
  <w:style w:type="paragraph" w:customStyle="1" w:styleId="Caption">
    <w:name w:val="Caption"/>
    <w:basedOn w:val="a"/>
    <w:qFormat/>
    <w:rsid w:val="00366A51"/>
    <w:pPr>
      <w:suppressLineNumbers/>
      <w:spacing w:before="120" w:after="120"/>
    </w:pPr>
    <w:rPr>
      <w:rFonts w:cs="FreeSans;Times New Roman"/>
      <w:i/>
      <w:iCs/>
      <w:sz w:val="24"/>
      <w:szCs w:val="24"/>
    </w:rPr>
  </w:style>
  <w:style w:type="paragraph" w:customStyle="1" w:styleId="Index">
    <w:name w:val="Index"/>
    <w:basedOn w:val="a"/>
    <w:qFormat/>
    <w:rsid w:val="00366A51"/>
    <w:pPr>
      <w:suppressLineNumbers/>
    </w:pPr>
    <w:rPr>
      <w:rFonts w:cs="FreeSans;Times New Roman"/>
    </w:rPr>
  </w:style>
  <w:style w:type="paragraph" w:styleId="ac">
    <w:name w:val="No Spacing"/>
    <w:qFormat/>
    <w:rsid w:val="00366A51"/>
    <w:rPr>
      <w:rFonts w:ascii="Calibri" w:eastAsia="Calibri" w:hAnsi="Calibri" w:cs="Times New Roman"/>
      <w:color w:val="00000A"/>
      <w:sz w:val="22"/>
      <w:szCs w:val="22"/>
      <w:lang w:val="bg-BG" w:bidi="ar-SA"/>
    </w:rPr>
  </w:style>
  <w:style w:type="paragraph" w:styleId="ad">
    <w:name w:val="annotation text"/>
    <w:basedOn w:val="a"/>
    <w:qFormat/>
    <w:rsid w:val="00366A51"/>
    <w:pPr>
      <w:spacing w:line="240" w:lineRule="auto"/>
    </w:pPr>
    <w:rPr>
      <w:sz w:val="20"/>
      <w:szCs w:val="20"/>
    </w:rPr>
  </w:style>
  <w:style w:type="paragraph" w:styleId="ae">
    <w:name w:val="annotation subject"/>
    <w:basedOn w:val="ad"/>
    <w:qFormat/>
    <w:rsid w:val="00366A51"/>
    <w:rPr>
      <w:b/>
      <w:bCs/>
    </w:rPr>
  </w:style>
  <w:style w:type="paragraph" w:styleId="af">
    <w:name w:val="Balloon Text"/>
    <w:basedOn w:val="a"/>
    <w:qFormat/>
    <w:rsid w:val="00366A51"/>
    <w:pPr>
      <w:spacing w:after="0" w:line="240" w:lineRule="auto"/>
    </w:pPr>
    <w:rPr>
      <w:rFonts w:ascii="Tahoma" w:hAnsi="Tahoma" w:cs="Tahoma"/>
      <w:sz w:val="16"/>
      <w:szCs w:val="16"/>
    </w:rPr>
  </w:style>
  <w:style w:type="paragraph" w:styleId="af0">
    <w:name w:val="Body Text Indent"/>
    <w:basedOn w:val="a"/>
    <w:rsid w:val="00366A51"/>
    <w:pPr>
      <w:spacing w:after="120"/>
      <w:ind w:left="283"/>
    </w:pPr>
  </w:style>
  <w:style w:type="paragraph" w:styleId="20">
    <w:name w:val="Body Text First Indent 2"/>
    <w:basedOn w:val="af0"/>
    <w:qFormat/>
    <w:rsid w:val="00366A51"/>
    <w:pPr>
      <w:ind w:firstLine="210"/>
    </w:pPr>
  </w:style>
  <w:style w:type="numbering" w:customStyle="1" w:styleId="WW8Num1">
    <w:name w:val="WW8Num1"/>
    <w:qFormat/>
    <w:rsid w:val="00366A51"/>
  </w:style>
  <w:style w:type="numbering" w:customStyle="1" w:styleId="WW8Num2">
    <w:name w:val="WW8Num2"/>
    <w:qFormat/>
    <w:rsid w:val="00366A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ki.bas.bg/files/Doklad_2016_0.pdf"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1341</Words>
  <Characters>7650</Characters>
  <Application>Microsoft Office Word</Application>
  <DocSecurity>0</DocSecurity>
  <Lines>63</Lines>
  <Paragraphs>17</Paragraphs>
  <ScaleCrop>false</ScaleCrop>
  <HeadingPairs>
    <vt:vector size="2" baseType="variant">
      <vt:variant>
        <vt:lpstr>Заглавие</vt:lpstr>
      </vt:variant>
      <vt:variant>
        <vt:i4>1</vt:i4>
      </vt:variant>
    </vt:vector>
  </HeadingPairs>
  <TitlesOfParts>
    <vt:vector size="1" baseType="lpstr">
      <vt:lpstr>Съгласно Наредба № 11 на Министерството на земеделието и храните от 6 април 2009 г</vt:lpstr>
    </vt:vector>
  </TitlesOfParts>
  <Company>home</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Съгласно Наредба № 11 на Министерството на земеделието и храните от 6 април 2009 г</dc:title>
  <dc:subject/>
  <dc:creator>LIFE-Laptop</dc:creator>
  <dc:description/>
  <cp:lastModifiedBy>user</cp:lastModifiedBy>
  <cp:revision>3</cp:revision>
  <dcterms:created xsi:type="dcterms:W3CDTF">2016-06-23T06:55:00Z</dcterms:created>
  <dcterms:modified xsi:type="dcterms:W3CDTF">2016-06-25T07:37:00Z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